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jc w:val="center"/>
        <w:rPr>
          <w:sz w:val="24"/>
          <w:szCs w:val="24"/>
        </w:rPr>
      </w:pPr>
      <w:r>
        <w:rPr>
          <w:rFonts w:hint="eastAsia"/>
          <w:sz w:val="24"/>
        </w:rPr>
        <w:drawing>
          <wp:inline distT="0" distB="0" distL="0" distR="0">
            <wp:extent cx="4993005" cy="2804160"/>
            <wp:effectExtent l="0" t="0" r="0" b="0"/>
            <wp:docPr id="672679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969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93005" cy="2804160"/>
                    </a:xfrm>
                    <a:prstGeom prst="rect">
                      <a:avLst/>
                    </a:prstGeom>
                    <a:noFill/>
                  </pic:spPr>
                </pic:pic>
              </a:graphicData>
            </a:graphic>
          </wp:inline>
        </w:drawing>
      </w:r>
      <w:bookmarkStart w:id="1" w:name="_GoBack"/>
      <w:bookmarkEnd w:id="1"/>
    </w:p>
    <w:p>
      <w:pPr>
        <w:pStyle w:val="2"/>
        <w:spacing w:line="240" w:lineRule="auto"/>
        <w:jc w:val="center"/>
        <w:rPr>
          <w:sz w:val="24"/>
          <w:szCs w:val="24"/>
        </w:rPr>
      </w:pPr>
    </w:p>
    <w:p>
      <w:pPr>
        <w:pStyle w:val="2"/>
        <w:spacing w:line="240" w:lineRule="auto"/>
        <w:jc w:val="center"/>
        <w:rPr>
          <w:sz w:val="24"/>
        </w:rPr>
      </w:pPr>
      <w:r>
        <w:rPr>
          <w:rFonts w:hint="eastAsia"/>
          <w:sz w:val="24"/>
        </w:rPr>
        <w:t>快思聪Crestron</w:t>
      </w:r>
      <w:r>
        <w:rPr>
          <w:sz w:val="24"/>
        </w:rPr>
        <w:t xml:space="preserve"> </w:t>
      </w:r>
      <w:r>
        <w:rPr>
          <w:rFonts w:hint="eastAsia"/>
          <w:sz w:val="24"/>
        </w:rPr>
        <w:t>Automate VX现已支持森海塞尔TCC M天花阵列麦克风</w:t>
      </w:r>
    </w:p>
    <w:p>
      <w:pPr>
        <w:spacing w:line="240" w:lineRule="auto"/>
        <w:jc w:val="center"/>
        <w:rPr>
          <w:b/>
          <w:bCs/>
          <w:i/>
          <w:iCs/>
        </w:rPr>
      </w:pPr>
    </w:p>
    <w:p>
      <w:pPr>
        <w:spacing w:line="240" w:lineRule="auto"/>
        <w:jc w:val="center"/>
        <w:rPr>
          <w:b/>
          <w:i/>
        </w:rPr>
      </w:pPr>
      <w:r>
        <w:rPr>
          <w:rFonts w:hint="eastAsia"/>
          <w:b/>
          <w:i/>
        </w:rPr>
        <w:t>重要战略合作伙伴在多摄像头切换解决方案中集成森海塞尔最新天花阵列麦克风，推动更平等的会议体验</w:t>
      </w:r>
    </w:p>
    <w:p>
      <w:pPr>
        <w:spacing w:line="240" w:lineRule="auto"/>
        <w:jc w:val="center"/>
        <w:rPr>
          <w:b/>
          <w:i/>
        </w:rPr>
      </w:pPr>
    </w:p>
    <w:p>
      <w:pPr>
        <w:spacing w:line="240" w:lineRule="auto"/>
        <w:rPr>
          <w:b/>
          <w:i/>
        </w:rPr>
      </w:pPr>
    </w:p>
    <w:p>
      <w:pPr>
        <w:rPr>
          <w:rFonts w:ascii="Sennheiser Office" w:hAnsi="Sennheiser Office" w:eastAsia="宋体"/>
          <w:b/>
          <w:szCs w:val="18"/>
        </w:rPr>
      </w:pPr>
      <w:r>
        <w:rPr>
          <w:rFonts w:hint="eastAsia"/>
          <w:b/>
          <w:i/>
        </w:rPr>
        <w:t>德国韦德马克，2023年12月13日</w:t>
      </w:r>
      <w:bookmarkStart w:id="0" w:name="_Hlk53570179"/>
      <w:r>
        <w:rPr>
          <w:rFonts w:hint="eastAsia"/>
          <w:b/>
        </w:rPr>
        <w:t>——森海塞尔作为先进音频技术的首选，致力于使协作与学习更轻松。森海塞尔</w:t>
      </w:r>
      <w:r>
        <w:rPr>
          <w:rFonts w:hint="eastAsia" w:ascii="Sennheiser Office" w:hAnsi="Sennheiser Office" w:eastAsia="宋体"/>
          <w:b/>
        </w:rPr>
        <w:t>很高兴宣布，其面向中型会议室、演讲厅或协作空间的TC</w:t>
      </w:r>
      <w:r>
        <w:rPr>
          <w:rFonts w:hint="eastAsia" w:ascii="Sennheiser Office" w:hAnsi="Sennheiser Office" w:eastAsia="宋体"/>
          <w:b/>
          <w:lang w:val="en-US"/>
        </w:rPr>
        <w:t>C</w:t>
      </w:r>
      <w:r>
        <w:rPr>
          <w:rFonts w:hint="eastAsia" w:ascii="Sennheiser Office" w:hAnsi="Sennheiser Office" w:eastAsia="宋体"/>
          <w:b/>
        </w:rPr>
        <w:t xml:space="preserve"> M天花阵列麦克风已与</w:t>
      </w:r>
      <w:r>
        <w:rPr>
          <w:rFonts w:hint="eastAsia"/>
        </w:rPr>
        <w:fldChar w:fldCharType="begin"/>
      </w:r>
      <w:r>
        <w:rPr>
          <w:rFonts w:hint="eastAsia"/>
        </w:rPr>
        <w:instrText xml:space="preserve">HYPERLINK "https://www.crestron.com/Products/Featured-Solutions/Automate-VX"</w:instrText>
      </w:r>
      <w:r>
        <w:rPr>
          <w:rFonts w:hint="eastAsia"/>
        </w:rPr>
        <w:fldChar w:fldCharType="separate"/>
      </w:r>
      <w:r>
        <w:rPr>
          <w:rStyle w:val="18"/>
          <w:rFonts w:hint="eastAsia" w:ascii="Sennheiser Office" w:hAnsi="Sennheiser Office" w:eastAsia="宋体"/>
          <w:b/>
        </w:rPr>
        <w:t>快思聪Crestron</w:t>
      </w:r>
      <w:r>
        <w:rPr>
          <w:rStyle w:val="18"/>
          <w:rFonts w:ascii="Sennheiser Office" w:hAnsi="Sennheiser Office" w:eastAsia="宋体"/>
          <w:b/>
        </w:rPr>
        <w:t xml:space="preserve"> </w:t>
      </w:r>
      <w:r>
        <w:rPr>
          <w:rStyle w:val="18"/>
          <w:rFonts w:hint="eastAsia" w:ascii="Sennheiser Office" w:hAnsi="Sennheiser Office" w:eastAsia="宋体"/>
          <w:b/>
        </w:rPr>
        <w:t>Automate VX语音激活麦克风追踪解决方案</w:t>
      </w:r>
      <w:r>
        <w:rPr>
          <w:rStyle w:val="20"/>
          <w:rFonts w:hint="eastAsia" w:ascii="Sennheiser Office" w:hAnsi="Sennheiser Office" w:eastAsia="宋体"/>
          <w:b/>
        </w:rPr>
        <w:fldChar w:fldCharType="end"/>
      </w:r>
      <w:r>
        <w:rPr>
          <w:rFonts w:hint="eastAsia" w:ascii="Sennheiser Office" w:hAnsi="Sennheiser Office" w:eastAsia="宋体"/>
          <w:b/>
        </w:rPr>
        <w:t>集成。</w:t>
      </w:r>
    </w:p>
    <w:p>
      <w:pPr>
        <w:rPr>
          <w:rFonts w:ascii="Sennheiser Office" w:hAnsi="Sennheiser Office"/>
          <w:szCs w:val="18"/>
          <w:lang w:val="en-US"/>
        </w:rPr>
      </w:pPr>
    </w:p>
    <w:p>
      <w:pPr>
        <w:rPr>
          <w:rFonts w:ascii="Sennheiser Office" w:hAnsi="Sennheiser Office" w:eastAsia="宋体"/>
          <w:szCs w:val="18"/>
        </w:rPr>
      </w:pPr>
      <w:r>
        <w:rPr>
          <w:rFonts w:hint="eastAsia" w:ascii="Sennheiser Office" w:hAnsi="Sennheiser Office" w:eastAsia="宋体"/>
        </w:rPr>
        <w:t>Automate VX技术提供专业视频制作级别的摄像头切换功能以实现高品质会议体验，适合企业会议室、多用途空间和培训室等各种应用场合。TCC M天花阵列麦克风与Automate VX技术的结合</w:t>
      </w:r>
      <w:r>
        <w:rPr>
          <w:rFonts w:hint="eastAsia"/>
        </w:rPr>
        <w:t>使会议</w:t>
      </w:r>
      <w:r>
        <w:t>更具包容性</w:t>
      </w:r>
      <w:r>
        <w:rPr>
          <w:rFonts w:hint="eastAsia" w:ascii="Sennheiser Office" w:hAnsi="Sennheiser Office" w:eastAsia="宋体"/>
        </w:rPr>
        <w:t xml:space="preserve">，尤其适合中型协作空间和演讲厅。高品质音频与智能视频技术对支持重要且动态的协作体验至关重要。 </w:t>
      </w:r>
    </w:p>
    <w:p>
      <w:pPr>
        <w:rPr>
          <w:rFonts w:ascii="Sennheiser Office" w:hAnsi="Sennheiser Office"/>
          <w:szCs w:val="18"/>
          <w:lang w:val="en-US"/>
        </w:rPr>
      </w:pPr>
    </w:p>
    <w:p>
      <w:pPr>
        <w:rPr>
          <w:rFonts w:ascii="Sennheiser Office" w:hAnsi="Sennheiser Office" w:eastAsia="宋体"/>
          <w:szCs w:val="18"/>
        </w:rPr>
      </w:pPr>
      <w:r>
        <w:rPr>
          <w:rFonts w:hint="eastAsia" w:ascii="Sennheiser Office" w:hAnsi="Sennheiser Office" w:eastAsia="宋体"/>
        </w:rPr>
        <w:t>借助Automate VX解决方案，房间内的多个摄像头可协同配合，追踪当前发言人，同时消除摄像头平移、倾斜或镜头缩放时通常会出现的干扰。随着谈话在房间内不同发言人之间推进，TCC M配备的自动动态波束成形专利技术可始终确保清晰传达发言人的声音。</w:t>
      </w:r>
    </w:p>
    <w:p>
      <w:pPr>
        <w:rPr>
          <w:rFonts w:ascii="Sennheiser Office" w:hAnsi="Sennheiser Office"/>
          <w:szCs w:val="18"/>
          <w:lang w:val="en-US"/>
        </w:rPr>
      </w:pPr>
    </w:p>
    <w:p>
      <w:pPr>
        <w:rPr>
          <w:rFonts w:ascii="Sennheiser Office" w:hAnsi="Sennheiser Office" w:eastAsia="宋体"/>
          <w:szCs w:val="18"/>
        </w:rPr>
      </w:pPr>
      <w:r>
        <w:rPr>
          <w:rFonts w:hint="eastAsia"/>
        </w:rPr>
        <w:drawing>
          <wp:inline distT="0" distB="0" distL="0" distR="0">
            <wp:extent cx="5003800" cy="3383280"/>
            <wp:effectExtent l="0" t="0" r="6350" b="7620"/>
            <wp:docPr id="359761148"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61148" name="Picture 1" descr="A group of people sitting at a table&#10;&#10;Description automatically generated"/>
                    <pic:cNvPicPr>
                      <a:picLocks noChangeAspect="1"/>
                    </pic:cNvPicPr>
                  </pic:nvPicPr>
                  <pic:blipFill>
                    <a:blip r:embed="rId10"/>
                    <a:stretch>
                      <a:fillRect/>
                    </a:stretch>
                  </pic:blipFill>
                  <pic:spPr>
                    <a:xfrm>
                      <a:off x="0" y="0"/>
                      <a:ext cx="5003800" cy="3383280"/>
                    </a:xfrm>
                    <a:prstGeom prst="rect">
                      <a:avLst/>
                    </a:prstGeom>
                  </pic:spPr>
                </pic:pic>
              </a:graphicData>
            </a:graphic>
          </wp:inline>
        </w:drawing>
      </w:r>
    </w:p>
    <w:p>
      <w:pPr>
        <w:rPr>
          <w:rFonts w:ascii="Sennheiser Office" w:hAnsi="Sennheiser Office"/>
          <w:szCs w:val="18"/>
          <w:lang w:val="en-US" w:eastAsia="de-DE"/>
        </w:rPr>
      </w:pPr>
    </w:p>
    <w:p>
      <w:pPr>
        <w:rPr>
          <w:rFonts w:ascii="Sennheiser Office" w:hAnsi="Sennheiser Office" w:eastAsia="宋体"/>
          <w:szCs w:val="18"/>
        </w:rPr>
      </w:pPr>
      <w:r>
        <w:rPr>
          <w:rFonts w:hint="eastAsia"/>
        </w:rPr>
        <w:t>随着整个森海塞尔天花阵列麦克风家族与快思聪Crestron</w:t>
      </w:r>
      <w:r>
        <w:t xml:space="preserve"> </w:t>
      </w:r>
      <w:r>
        <w:rPr>
          <w:rFonts w:hint="eastAsia"/>
        </w:rPr>
        <w:t>Automate VX技术和Intelligent Video Designer软件相集成，集成商现可简化较大型系统的设置，使流程更加高效省时。</w:t>
      </w:r>
    </w:p>
    <w:p>
      <w:pPr>
        <w:rPr>
          <w:rFonts w:ascii="Sennheiser Office" w:hAnsi="Sennheiser Office"/>
          <w:szCs w:val="18"/>
          <w:lang w:val="en-US" w:eastAsia="de-DE"/>
        </w:rPr>
      </w:pPr>
    </w:p>
    <w:p>
      <w:pPr>
        <w:rPr>
          <w:rFonts w:ascii="Sennheiser Office" w:hAnsi="Sennheiser Office" w:eastAsia="宋体"/>
          <w:szCs w:val="18"/>
        </w:rPr>
      </w:pPr>
      <w:r>
        <w:rPr>
          <w:rFonts w:hint="eastAsia" w:ascii="Sennheiser Office" w:hAnsi="Sennheiser Office" w:eastAsia="宋体"/>
        </w:rPr>
        <w:t>“森海塞尔TCC M与快思聪</w:t>
      </w:r>
      <w:r>
        <w:rPr>
          <w:rFonts w:hint="eastAsia"/>
        </w:rPr>
        <w:t>Crestron</w:t>
      </w:r>
      <w:r>
        <w:t xml:space="preserve"> </w:t>
      </w:r>
      <w:r>
        <w:rPr>
          <w:rFonts w:hint="eastAsia" w:ascii="Sennheiser Office" w:hAnsi="Sennheiser Office" w:eastAsia="宋体"/>
        </w:rPr>
        <w:t>Automate VX的集成令人倍感兴奋，这为会议室、演讲厅和协作空间内的与会者带来了更出色、公平的会议体验，”快思聪</w:t>
      </w:r>
      <w:r>
        <w:rPr>
          <w:rFonts w:hint="eastAsia"/>
        </w:rPr>
        <w:t>Crestron</w:t>
      </w:r>
      <w:r>
        <w:rPr>
          <w:rFonts w:hint="eastAsia" w:ascii="Sennheiser Office" w:hAnsi="Sennheiser Office" w:eastAsia="宋体"/>
        </w:rPr>
        <w:t>技术合作关系总监Bob Bavolacco表示，“它将森海塞尔卓越的音频体验与快思聪</w:t>
      </w:r>
      <w:r>
        <w:rPr>
          <w:rFonts w:hint="eastAsia"/>
        </w:rPr>
        <w:t>Crestron</w:t>
      </w:r>
      <w:r>
        <w:t xml:space="preserve"> </w:t>
      </w:r>
      <w:r>
        <w:rPr>
          <w:rFonts w:hint="eastAsia" w:ascii="Sennheiser Office" w:hAnsi="Sennheiser Office" w:eastAsia="宋体"/>
        </w:rPr>
        <w:t>Automate VX出色的多摄像头切换技术相结合。”</w:t>
      </w:r>
    </w:p>
    <w:p>
      <w:pPr>
        <w:rPr>
          <w:rFonts w:ascii="Sennheiser Office" w:hAnsi="Sennheiser Office"/>
          <w:szCs w:val="18"/>
          <w:lang w:val="en-US"/>
        </w:rPr>
      </w:pPr>
    </w:p>
    <w:p>
      <w:pPr>
        <w:rPr>
          <w:rFonts w:ascii="Sennheiser Office" w:hAnsi="Sennheiser Office" w:eastAsia="宋体"/>
          <w:szCs w:val="18"/>
        </w:rPr>
      </w:pPr>
      <w:r>
        <w:rPr>
          <w:rFonts w:hint="eastAsia" w:ascii="Sennheiser Office" w:hAnsi="Sennheiser Office" w:eastAsia="宋体"/>
        </w:rPr>
        <w:t>森海塞尔TCC M于今年早些时候发布，拥有屡获殊荣的</w:t>
      </w:r>
      <w:r>
        <w:fldChar w:fldCharType="begin"/>
      </w:r>
      <w:r>
        <w:instrText xml:space="preserve"> HYPERLINK "https://www.sennheiser.com/zh-cn/catalog/products/meeting-conference-systems/teamconnect-ceiling-2/teamconnect-ceiling-2-black-509161" </w:instrText>
      </w:r>
      <w:r>
        <w:fldChar w:fldCharType="separate"/>
      </w:r>
      <w:r>
        <w:rPr>
          <w:rStyle w:val="20"/>
          <w:rFonts w:hint="eastAsia" w:ascii="Sennheiser Office" w:hAnsi="Sennheiser Office" w:eastAsia="宋体"/>
        </w:rPr>
        <w:t>TCC 2天花阵列麦克风</w:t>
      </w:r>
      <w:r>
        <w:rPr>
          <w:rStyle w:val="20"/>
          <w:rFonts w:hint="eastAsia" w:ascii="Sennheiser Office" w:hAnsi="Sennheiser Office" w:eastAsia="宋体"/>
        </w:rPr>
        <w:fldChar w:fldCharType="end"/>
      </w:r>
      <w:r>
        <w:rPr>
          <w:rFonts w:hint="eastAsia" w:ascii="Sennheiser Office" w:hAnsi="Sennheiser Office" w:eastAsia="宋体"/>
        </w:rPr>
        <w:t>产品所有的创新技术和功能，并将其应用于会议空间市场新的细分领域。</w:t>
      </w:r>
      <w:r>
        <w:rPr>
          <w:rFonts w:hint="eastAsia" w:ascii="Sennheiser Office" w:hAnsi="Sennheiser Office" w:eastAsia="宋体"/>
          <w:lang w:val="en-US"/>
        </w:rPr>
        <w:t>TCC M</w:t>
      </w:r>
      <w:r>
        <w:rPr>
          <w:rFonts w:hint="eastAsia" w:ascii="Sennheiser Office" w:hAnsi="Sennheiser Office" w:eastAsia="宋体"/>
        </w:rPr>
        <w:t>的覆盖面积高达40 m²，在中型会议空间中，客户现在也可尽享TCC 2的强大功能。同时，TCC</w:t>
      </w:r>
      <w:r>
        <w:rPr>
          <w:rFonts w:ascii="Sennheiser Office" w:hAnsi="Sennheiser Office" w:eastAsia="宋体"/>
        </w:rPr>
        <w:t xml:space="preserve"> </w:t>
      </w:r>
      <w:r>
        <w:rPr>
          <w:rFonts w:hint="eastAsia" w:ascii="Sennheiser Office" w:hAnsi="Sennheiser Office" w:eastAsia="宋体"/>
        </w:rPr>
        <w:t xml:space="preserve">M拥有时尚的设计和极具吸引力的定价。 </w:t>
      </w:r>
    </w:p>
    <w:p>
      <w:pPr>
        <w:rPr>
          <w:rFonts w:ascii="Sennheiser Office" w:hAnsi="Sennheiser Office"/>
          <w:szCs w:val="18"/>
          <w:lang w:val="en-US" w:eastAsia="de-DE"/>
        </w:rPr>
      </w:pPr>
    </w:p>
    <w:p>
      <w:pPr>
        <w:rPr>
          <w:szCs w:val="18"/>
        </w:rPr>
      </w:pPr>
      <w:r>
        <w:rPr>
          <w:rFonts w:hint="eastAsia"/>
          <w:szCs w:val="18"/>
        </w:rPr>
        <w:t>不同于</w:t>
      </w:r>
      <w:r>
        <w:rPr>
          <w:szCs w:val="18"/>
        </w:rPr>
        <w:t xml:space="preserve"> TCC 2</w:t>
      </w:r>
      <w:r>
        <w:rPr>
          <w:rFonts w:hint="eastAsia"/>
          <w:szCs w:val="18"/>
        </w:rPr>
        <w:t>，</w:t>
      </w:r>
      <w:r>
        <w:rPr>
          <w:rFonts w:ascii="Sennheiser Office" w:hAnsi="Sennheiser Office" w:cs="Sennheiser Office"/>
          <w:szCs w:val="18"/>
        </w:rPr>
        <w:t xml:space="preserve">TCC M </w:t>
      </w:r>
      <w:r>
        <w:rPr>
          <w:rFonts w:hint="eastAsia" w:hAnsi="Sennheiser Office"/>
          <w:szCs w:val="18"/>
        </w:rPr>
        <w:t>为圆形造型，但二者的安装方式相同</w:t>
      </w:r>
      <w:r>
        <w:rPr>
          <w:rFonts w:hAnsi="Sennheiser Office"/>
          <w:szCs w:val="18"/>
        </w:rPr>
        <w:t xml:space="preserve"> — </w:t>
      </w:r>
      <w:r>
        <w:rPr>
          <w:rFonts w:hint="eastAsia" w:hAnsi="Sennheiser Office"/>
          <w:szCs w:val="18"/>
        </w:rPr>
        <w:t>支持吸顶式安装、悬挂式安装、嵌入式安装。多种安装方式使桌面免受线缆困扰并支持灵活的房间布局和摆位。</w:t>
      </w:r>
      <w:r>
        <w:rPr>
          <w:rFonts w:hint="eastAsia"/>
        </w:rPr>
        <w:t xml:space="preserve"> </w:t>
      </w:r>
    </w:p>
    <w:p>
      <w:pPr>
        <w:rPr>
          <w:bCs/>
          <w:szCs w:val="18"/>
          <w:u w:val="single"/>
        </w:rPr>
      </w:pPr>
    </w:p>
    <w:p>
      <w:pPr>
        <w:rPr>
          <w:bCs/>
          <w:szCs w:val="18"/>
        </w:rPr>
      </w:pPr>
      <w:r>
        <w:rPr>
          <w:rFonts w:hint="eastAsia"/>
        </w:rPr>
        <w:t>“作为森海塞尔天花阵列麦克风解决方案家族的成员，TCC</w:t>
      </w:r>
      <w:r>
        <w:t xml:space="preserve"> </w:t>
      </w:r>
      <w:r>
        <w:rPr>
          <w:rFonts w:hint="eastAsia"/>
        </w:rPr>
        <w:t>M通过与快思聪Crestron</w:t>
      </w:r>
      <w:r>
        <w:t xml:space="preserve"> </w:t>
      </w:r>
      <w:r>
        <w:rPr>
          <w:rFonts w:hint="eastAsia"/>
        </w:rPr>
        <w:t>Automate VX集成，进一步证明了其拥有出色的灵活性，”森海塞尔商务通讯全球联盟及合作经理Charlie Jones表示，“森海塞尔始终致力于与合作伙伴精诚合作，通过我们的解决方案，为现场及远程参会者打造包容且富有成效的协作体验，此次合作正践行了这一承诺。”</w:t>
      </w:r>
    </w:p>
    <w:p>
      <w:pPr>
        <w:rPr>
          <w:bCs/>
          <w:szCs w:val="18"/>
          <w:lang w:val="en-US"/>
        </w:rPr>
      </w:pPr>
    </w:p>
    <w:p>
      <w:r>
        <w:rPr>
          <w:rFonts w:hint="eastAsia"/>
        </w:rPr>
        <w:t>更多有关快思聪Crestron</w:t>
      </w:r>
      <w:r>
        <w:t xml:space="preserve"> </w:t>
      </w:r>
      <w:r>
        <w:rPr>
          <w:rFonts w:hint="eastAsia"/>
        </w:rPr>
        <w:t>Automate VX解决方案的信息，请访问</w:t>
      </w:r>
      <w:r>
        <w:fldChar w:fldCharType="begin"/>
      </w:r>
      <w:r>
        <w:instrText xml:space="preserve"> HYPERLINK "https://www.crestron.com/Products/Featured-Solutions/Automate-VX" </w:instrText>
      </w:r>
      <w:r>
        <w:fldChar w:fldCharType="separate"/>
      </w:r>
      <w:r>
        <w:rPr>
          <w:rStyle w:val="20"/>
        </w:rPr>
        <w:t>https://www.crestron.com/Products/Featured-Solutions/Automate-VX</w:t>
      </w:r>
      <w:r>
        <w:rPr>
          <w:rStyle w:val="20"/>
        </w:rPr>
        <w:fldChar w:fldCharType="end"/>
      </w:r>
      <w:r>
        <w:rPr>
          <w:rFonts w:hint="eastAsia"/>
        </w:rPr>
        <w:t>。</w:t>
      </w:r>
    </w:p>
    <w:p/>
    <w:p>
      <w:pPr>
        <w:rPr>
          <w:rFonts w:ascii="Segoe UI" w:hAnsi="Segoe UI" w:eastAsia="Times New Roman" w:cs="Segoe UI"/>
          <w:szCs w:val="18"/>
          <w:lang w:val="en-US"/>
        </w:rPr>
      </w:pPr>
      <w:r>
        <w:rPr>
          <w:rFonts w:hint="eastAsia"/>
        </w:rPr>
        <w:t>进一步了解森海塞尔TCC M和森海塞尔天花阵列麦克风解决方案全系列产品，请访问：</w:t>
      </w:r>
      <w:r>
        <w:fldChar w:fldCharType="begin"/>
      </w:r>
      <w:r>
        <w:instrText xml:space="preserve"> HYPERLINK "https://www.sennheiser.com/zh-cn/product-families/tcc" </w:instrText>
      </w:r>
      <w:r>
        <w:fldChar w:fldCharType="separate"/>
      </w:r>
      <w:r>
        <w:rPr>
          <w:rStyle w:val="20"/>
        </w:rPr>
        <w:t>https://www.sennheiser.com/zh-cn/product-families/tcc</w:t>
      </w:r>
      <w:r>
        <w:rPr>
          <w:rStyle w:val="20"/>
        </w:rPr>
        <w:fldChar w:fldCharType="end"/>
      </w:r>
      <w:r>
        <w:rPr>
          <w:rFonts w:hint="eastAsia"/>
        </w:rPr>
        <w:t xml:space="preserve"> 。 </w:t>
      </w:r>
      <w:bookmarkEnd w:id="0"/>
    </w:p>
    <w:p/>
    <w:p/>
    <w:p>
      <w:pPr>
        <w:rPr>
          <w:b/>
          <w:bCs/>
        </w:rPr>
      </w:pPr>
      <w:r>
        <w:rPr>
          <w:rFonts w:hint="eastAsia"/>
          <w:b/>
          <w:bCs/>
        </w:rPr>
        <w:t>关于森海塞尔品牌</w:t>
      </w:r>
    </w:p>
    <w:p>
      <w:r>
        <w:rPr>
          <w:rFonts w:hint="eastAsia"/>
        </w:rPr>
        <w:t xml:space="preserve">音频是我们的生命之源。我们致力于创造与众不同的音频解决方案。打造音频之未来并为我们的客户提供非凡的声音体验——这就是森海塞尔品牌近80年来所传承的精神。专业话筒及监听系统、会议系统、流媒体技术和无线传输系统等专业音频解决方案，这些业务隶属于森海塞尔（Sennheiser electronic GmbH &amp; Co. KG）；而消费电子产品业务包括耳机、条形音箱和语音增强耳机等在森海塞尔的授权下由索诺瓦控股集团（Sonova Holding AG）运营。  </w:t>
      </w:r>
    </w:p>
    <w:p>
      <w:pPr>
        <w:rPr>
          <w:b/>
          <w:bCs/>
        </w:rPr>
      </w:pPr>
      <w:r>
        <w:rPr>
          <w:rFonts w:hint="eastAsia"/>
          <w:b/>
          <w:bCs/>
        </w:rPr>
        <w:t xml:space="preserve"> </w:t>
      </w:r>
    </w:p>
    <w:p>
      <w:r>
        <w:fldChar w:fldCharType="begin"/>
      </w:r>
      <w:r>
        <w:instrText xml:space="preserve"> HYPERLINK "http://www.sennheiser.com" </w:instrText>
      </w:r>
      <w:r>
        <w:fldChar w:fldCharType="separate"/>
      </w:r>
      <w:r>
        <w:rPr>
          <w:rStyle w:val="20"/>
        </w:rPr>
        <w:t>www.sennheiser.com</w:t>
      </w:r>
      <w:r>
        <w:fldChar w:fldCharType="end"/>
      </w:r>
    </w:p>
    <w:p>
      <w:r>
        <w:fldChar w:fldCharType="begin"/>
      </w:r>
      <w:r>
        <w:instrText xml:space="preserve"> HYPERLINK "http://www.sennheiser-hearing.com" </w:instrText>
      </w:r>
      <w:r>
        <w:fldChar w:fldCharType="separate"/>
      </w:r>
      <w:r>
        <w:rPr>
          <w:rStyle w:val="20"/>
          <w:rFonts w:hint="eastAsia"/>
        </w:rPr>
        <w:t>www.sennheiser-hearing.com</w:t>
      </w:r>
      <w:r>
        <w:rPr>
          <w:rStyle w:val="20"/>
          <w:rFonts w:hint="eastAsia"/>
        </w:rPr>
        <w:fldChar w:fldCharType="end"/>
      </w:r>
    </w:p>
    <w:p>
      <w:pPr>
        <w:rPr>
          <w:b/>
          <w:bCs/>
        </w:rPr>
      </w:pPr>
    </w:p>
    <w:p>
      <w:pPr>
        <w:rPr>
          <w:b/>
          <w:bCs/>
        </w:rPr>
      </w:pPr>
    </w:p>
    <w:p>
      <w:pPr>
        <w:rPr>
          <w:b/>
          <w:bCs/>
        </w:rPr>
      </w:pPr>
    </w:p>
    <w:p>
      <w:pPr>
        <w:rPr>
          <w:b/>
          <w:bCs/>
        </w:rPr>
      </w:pPr>
      <w:r>
        <w:rPr>
          <w:rFonts w:hint="eastAsia"/>
          <w:b/>
          <w:bCs/>
        </w:rPr>
        <w:t>大中华区新闻联络人</w:t>
      </w:r>
    </w:p>
    <w:p>
      <w:pPr>
        <w:rPr>
          <w:lang w:val="en-US"/>
        </w:rPr>
      </w:pPr>
      <w:r>
        <w:rPr>
          <w:rFonts w:hint="eastAsia"/>
        </w:rPr>
        <w:t>顾彦多</w:t>
      </w:r>
      <w:r>
        <w:rPr>
          <w:rFonts w:hint="eastAsia"/>
          <w:lang w:val="en-US"/>
        </w:rPr>
        <w:t xml:space="preserve"> Ivy</w:t>
      </w:r>
    </w:p>
    <w:p>
      <w:r>
        <w:rPr>
          <w:rFonts w:hint="eastAsia"/>
        </w:rPr>
        <w:t>ivy.gu@sennheiser.com</w:t>
      </w:r>
    </w:p>
    <w:p>
      <w:r>
        <w:rPr>
          <w:rFonts w:hint="eastAsia"/>
        </w:rPr>
        <w:t>+86-13810674317</w:t>
      </w:r>
    </w:p>
    <w:p/>
    <w:p/>
    <w:sectPr>
      <w:headerReference r:id="rId6" w:type="first"/>
      <w:footerReference r:id="rId7" w:type="first"/>
      <w:headerReference r:id="rId5" w:type="default"/>
      <w:pgSz w:w="11906" w:h="16838"/>
      <w:pgMar w:top="2754" w:right="2608" w:bottom="1418" w:left="1418" w:header="629" w:footer="134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F6E8FC-8834-47E0-885B-B7B121F8C2A9}"/>
  </w:font>
  <w:font w:name="Arial">
    <w:panose1 w:val="020B0604020202020204"/>
    <w:charset w:val="01"/>
    <w:family w:val="swiss"/>
    <w:pitch w:val="default"/>
    <w:sig w:usb0="E0002AFF" w:usb1="C0007843" w:usb2="00000009" w:usb3="00000000" w:csb0="400001FF" w:csb1="FFFF0000"/>
    <w:embedRegular r:id="rId2" w:fontKey="{51C56A8E-172D-4F55-9D37-747C3FB9BF79}"/>
  </w:font>
  <w:font w:name="黑体">
    <w:panose1 w:val="02010609060101010101"/>
    <w:charset w:val="86"/>
    <w:family w:val="auto"/>
    <w:pitch w:val="default"/>
    <w:sig w:usb0="800002BF" w:usb1="38CF7CFA" w:usb2="00000016" w:usb3="00000000" w:csb0="00040001" w:csb1="00000000"/>
    <w:embedRegular r:id="rId3" w:fontKey="{60C0625A-5724-4666-996E-7ACF78CEBE2F}"/>
  </w:font>
  <w:font w:name="Courier New">
    <w:panose1 w:val="02070309020205020404"/>
    <w:charset w:val="01"/>
    <w:family w:val="modern"/>
    <w:pitch w:val="default"/>
    <w:sig w:usb0="E0002AFF" w:usb1="C0007843" w:usb2="00000009" w:usb3="00000000" w:csb0="400001FF" w:csb1="FFFF0000"/>
    <w:embedRegular r:id="rId4" w:fontKey="{354EDD13-57A6-492B-8D32-EE34AB76020B}"/>
  </w:font>
  <w:font w:name="Symbol">
    <w:panose1 w:val="05050102010706020507"/>
    <w:charset w:val="02"/>
    <w:family w:val="roman"/>
    <w:pitch w:val="default"/>
    <w:sig w:usb0="00000000" w:usb1="00000000" w:usb2="00000000" w:usb3="00000000" w:csb0="80000000" w:csb1="00000000"/>
    <w:embedRegular r:id="rId5" w:fontKey="{46039690-D3C9-4270-8D02-ACA95A7A61A6}"/>
  </w:font>
  <w:font w:name="Calibri">
    <w:panose1 w:val="020F0502020204030204"/>
    <w:charset w:val="00"/>
    <w:family w:val="swiss"/>
    <w:pitch w:val="default"/>
    <w:sig w:usb0="E00002FF" w:usb1="4000ACFF" w:usb2="00000001" w:usb3="00000000" w:csb0="2000019F" w:csb1="00000000"/>
    <w:embedRegular r:id="rId6" w:fontKey="{CFB79768-A644-4891-BF1B-F384363F6276}"/>
  </w:font>
  <w:font w:name="Sennheiser Office">
    <w:panose1 w:val="02010504010101010104"/>
    <w:charset w:val="00"/>
    <w:family w:val="swiss"/>
    <w:pitch w:val="default"/>
    <w:sig w:usb0="A00000AF" w:usb1="500020DB" w:usb2="00000000" w:usb3="00000000" w:csb0="20000093" w:csb1="00000000"/>
    <w:embedRegular r:id="rId7" w:fontKey="{CD1C3EBA-1791-4E25-9AC1-FA29F651A7BB}"/>
  </w:font>
  <w:font w:name="Segoe UI">
    <w:panose1 w:val="020B0502040204020203"/>
    <w:charset w:val="00"/>
    <w:family w:val="swiss"/>
    <w:pitch w:val="default"/>
    <w:sig w:usb0="E10022FF" w:usb1="C000E47F" w:usb2="00000029" w:usb3="00000000" w:csb0="200001DF" w:csb1="20000000"/>
    <w:embedRegular r:id="rId8" w:fontKey="{01445158-7EBE-464B-96EE-00E664EF8D1B}"/>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3068"/>
      </w:tabs>
    </w:pPr>
    <w:r>
      <w:rPr>
        <w:rFonts w:hint="eastAsia"/>
      </w:rPr>
      <w:drawing>
        <wp:anchor distT="0" distB="0" distL="114300" distR="114300" simplePos="0" relativeHeight="251660288" behindDoc="0" locked="1" layoutInCell="1" allowOverlap="1">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color w:val="0095D5" w:themeColor="accent1"/>
        <w14:textFill>
          <w14:solidFill>
            <w14:schemeClr w14:val="accent1"/>
          </w14:solidFill>
        </w14:textFill>
      </w:rPr>
    </w:pPr>
    <w:r>
      <w:rPr>
        <w:rFonts w:hint="eastAsia"/>
        <w:color w:val="0095D5" w:themeColor="accent1"/>
        <w14:textFill>
          <w14:solidFill>
            <w14:schemeClr w14:val="accent1"/>
          </w14:solidFill>
        </w14:textFill>
      </w:rPr>
      <w:t>新闻稿</w:t>
    </w:r>
    <w:r>
      <w:rPr>
        <w:rFonts w:hint="eastAsia"/>
      </w:rPr>
      <w:drawing>
        <wp:anchor distT="0" distB="0" distL="114300" distR="114300" simplePos="0" relativeHeight="251659264"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pPr>
      <w:pStyle w:val="10"/>
    </w:pPr>
    <w:r>
      <w:fldChar w:fldCharType="begin"/>
    </w:r>
    <w:r>
      <w:instrText xml:space="preserve"> PAGE  \* Arabic  \* MERGEFORMAT </w:instrText>
    </w:r>
    <w:r>
      <w:fldChar w:fldCharType="separate"/>
    </w:r>
    <w:r>
      <w:t>2</w:t>
    </w:r>
    <w:r>
      <w:fldChar w:fldCharType="end"/>
    </w:r>
    <w:r>
      <w:rPr>
        <w:rFonts w:hint="eastAsia"/>
      </w:rPr>
      <w:t>/</w:t>
    </w:r>
    <w:r>
      <w:fldChar w:fldCharType="begin"/>
    </w:r>
    <w:r>
      <w:instrText xml:space="preserve">NUMPAGES  \* Arabic  \* MERGEFORMAT</w:instrText>
    </w:r>
    <w:r>
      <w:fldChar w:fldCharType="separate"/>
    </w:r>
    <w:r>
      <w:t>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color w:val="0095D5" w:themeColor="accent1"/>
        <w14:textFill>
          <w14:solidFill>
            <w14:schemeClr w14:val="accent1"/>
          </w14:solidFill>
        </w14:textFill>
      </w:rPr>
    </w:pPr>
    <w:r>
      <w:rPr>
        <w:rFonts w:hint="eastAsia"/>
        <w:color w:val="0095D5" w:themeColor="accent1"/>
        <w14:textFill>
          <w14:solidFill>
            <w14:schemeClr w14:val="accent1"/>
          </w14:solidFill>
        </w14:textFill>
      </w:rPr>
      <w:t>新闻稿</w:t>
    </w:r>
    <w:r>
      <w:rPr>
        <w:rFonts w:hint="eastAsia"/>
      </w:rPr>
      <w:drawing>
        <wp:anchor distT="0" distB="0" distL="114300" distR="114300" simplePos="0" relativeHeight="251660288" behindDoc="0" locked="1" layoutInCell="1" allowOverlap="1">
          <wp:simplePos x="0" y="0"/>
          <wp:positionH relativeFrom="page">
            <wp:posOffset>900430</wp:posOffset>
          </wp:positionH>
          <wp:positionV relativeFrom="page">
            <wp:posOffset>422275</wp:posOffset>
          </wp:positionV>
          <wp:extent cx="575945" cy="431165"/>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pPr>
      <w:pStyle w:val="10"/>
    </w:pPr>
    <w:r>
      <w:fldChar w:fldCharType="begin"/>
    </w:r>
    <w:r>
      <w:instrText xml:space="preserve"> PAGE  \* Arabic  \* MERGEFORMAT </w:instrText>
    </w:r>
    <w:r>
      <w:fldChar w:fldCharType="separate"/>
    </w:r>
    <w:r>
      <w:t>1</w:t>
    </w:r>
    <w:r>
      <w:fldChar w:fldCharType="end"/>
    </w:r>
    <w:r>
      <w:rPr>
        <w:rFonts w:hint="eastAsia"/>
      </w:rPr>
      <w:t>/</w:t>
    </w:r>
    <w:r>
      <w:fldChar w:fldCharType="begin"/>
    </w:r>
    <w:r>
      <w:instrText xml:space="preserve">NUMPAGES  \* Arabic  \* MERGEFORMAT</w:instrText>
    </w:r>
    <w:r>
      <w:fldChar w:fldCharType="separate"/>
    </w:r>
    <w:r>
      <w:t>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708"/>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GVjOGUyZDhkNGI2ZTMwYTAxNDUxNjRhMWRhNzIifQ=="/>
  </w:docVars>
  <w:rsids>
    <w:rsidRoot w:val="00CA1EB9"/>
    <w:rsid w:val="000003EA"/>
    <w:rsid w:val="00001645"/>
    <w:rsid w:val="00001CB8"/>
    <w:rsid w:val="00002BA6"/>
    <w:rsid w:val="000035E4"/>
    <w:rsid w:val="00004289"/>
    <w:rsid w:val="00006FC6"/>
    <w:rsid w:val="0001001F"/>
    <w:rsid w:val="0001027A"/>
    <w:rsid w:val="000102A9"/>
    <w:rsid w:val="00011C6C"/>
    <w:rsid w:val="000134D7"/>
    <w:rsid w:val="00014BCA"/>
    <w:rsid w:val="00014D54"/>
    <w:rsid w:val="000151A7"/>
    <w:rsid w:val="000156A7"/>
    <w:rsid w:val="000156C2"/>
    <w:rsid w:val="00016196"/>
    <w:rsid w:val="0001632B"/>
    <w:rsid w:val="0001676E"/>
    <w:rsid w:val="00016D44"/>
    <w:rsid w:val="00017631"/>
    <w:rsid w:val="00021722"/>
    <w:rsid w:val="0002207D"/>
    <w:rsid w:val="000250B4"/>
    <w:rsid w:val="00025286"/>
    <w:rsid w:val="0002555F"/>
    <w:rsid w:val="000272CD"/>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1C4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A0B"/>
    <w:rsid w:val="000A0A1A"/>
    <w:rsid w:val="000A0BD9"/>
    <w:rsid w:val="000A3D03"/>
    <w:rsid w:val="000A43F1"/>
    <w:rsid w:val="000A652A"/>
    <w:rsid w:val="000A6574"/>
    <w:rsid w:val="000A6A9F"/>
    <w:rsid w:val="000B0441"/>
    <w:rsid w:val="000B144E"/>
    <w:rsid w:val="000B16C2"/>
    <w:rsid w:val="000B22A8"/>
    <w:rsid w:val="000B419D"/>
    <w:rsid w:val="000B5BED"/>
    <w:rsid w:val="000B6B1B"/>
    <w:rsid w:val="000C07FC"/>
    <w:rsid w:val="000C0935"/>
    <w:rsid w:val="000C1C9D"/>
    <w:rsid w:val="000C32A5"/>
    <w:rsid w:val="000C3C6E"/>
    <w:rsid w:val="000C5E35"/>
    <w:rsid w:val="000C657F"/>
    <w:rsid w:val="000C6E65"/>
    <w:rsid w:val="000C7D2D"/>
    <w:rsid w:val="000D07C3"/>
    <w:rsid w:val="000D1630"/>
    <w:rsid w:val="000D1E44"/>
    <w:rsid w:val="000D36B9"/>
    <w:rsid w:val="000D3ACD"/>
    <w:rsid w:val="000D477A"/>
    <w:rsid w:val="000D5512"/>
    <w:rsid w:val="000E195D"/>
    <w:rsid w:val="000E1ADC"/>
    <w:rsid w:val="000E33A4"/>
    <w:rsid w:val="000E3897"/>
    <w:rsid w:val="000E4136"/>
    <w:rsid w:val="000E558A"/>
    <w:rsid w:val="000E6930"/>
    <w:rsid w:val="000F03E5"/>
    <w:rsid w:val="000F0CCB"/>
    <w:rsid w:val="000F0DA8"/>
    <w:rsid w:val="000F1105"/>
    <w:rsid w:val="000F1B7D"/>
    <w:rsid w:val="000F442D"/>
    <w:rsid w:val="000F54E9"/>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1BF1"/>
    <w:rsid w:val="001221F5"/>
    <w:rsid w:val="00123391"/>
    <w:rsid w:val="001240E1"/>
    <w:rsid w:val="00124508"/>
    <w:rsid w:val="001252B9"/>
    <w:rsid w:val="0012606B"/>
    <w:rsid w:val="00126947"/>
    <w:rsid w:val="001274C0"/>
    <w:rsid w:val="0013050D"/>
    <w:rsid w:val="00131A8B"/>
    <w:rsid w:val="00131B01"/>
    <w:rsid w:val="00132779"/>
    <w:rsid w:val="00132B62"/>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57EB"/>
    <w:rsid w:val="0016639B"/>
    <w:rsid w:val="0016666F"/>
    <w:rsid w:val="00166EA7"/>
    <w:rsid w:val="0016720F"/>
    <w:rsid w:val="0016778C"/>
    <w:rsid w:val="00167ACF"/>
    <w:rsid w:val="00171673"/>
    <w:rsid w:val="0017174A"/>
    <w:rsid w:val="001730E2"/>
    <w:rsid w:val="001747E2"/>
    <w:rsid w:val="001750D6"/>
    <w:rsid w:val="001752B5"/>
    <w:rsid w:val="0017710D"/>
    <w:rsid w:val="00177338"/>
    <w:rsid w:val="00181262"/>
    <w:rsid w:val="00181B67"/>
    <w:rsid w:val="00182103"/>
    <w:rsid w:val="001821D7"/>
    <w:rsid w:val="001828DD"/>
    <w:rsid w:val="00186350"/>
    <w:rsid w:val="00186AF2"/>
    <w:rsid w:val="00187B60"/>
    <w:rsid w:val="001903BF"/>
    <w:rsid w:val="00192696"/>
    <w:rsid w:val="00192C71"/>
    <w:rsid w:val="00192E59"/>
    <w:rsid w:val="00193ABA"/>
    <w:rsid w:val="00193B1A"/>
    <w:rsid w:val="00194A8A"/>
    <w:rsid w:val="00195CE3"/>
    <w:rsid w:val="00196886"/>
    <w:rsid w:val="0019717E"/>
    <w:rsid w:val="00197BA9"/>
    <w:rsid w:val="001A054A"/>
    <w:rsid w:val="001A1F29"/>
    <w:rsid w:val="001A30C3"/>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0AA"/>
    <w:rsid w:val="001D45C4"/>
    <w:rsid w:val="001D4E25"/>
    <w:rsid w:val="001D5C68"/>
    <w:rsid w:val="001D749B"/>
    <w:rsid w:val="001D7EE6"/>
    <w:rsid w:val="001E0408"/>
    <w:rsid w:val="001E0C8F"/>
    <w:rsid w:val="001E0E09"/>
    <w:rsid w:val="001E1929"/>
    <w:rsid w:val="001E25D5"/>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17E34"/>
    <w:rsid w:val="002206C4"/>
    <w:rsid w:val="00220ABB"/>
    <w:rsid w:val="00222D1C"/>
    <w:rsid w:val="00223399"/>
    <w:rsid w:val="002279EA"/>
    <w:rsid w:val="0023030F"/>
    <w:rsid w:val="0023069B"/>
    <w:rsid w:val="002316E4"/>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15EC"/>
    <w:rsid w:val="0025461E"/>
    <w:rsid w:val="0025490E"/>
    <w:rsid w:val="002553FB"/>
    <w:rsid w:val="00256248"/>
    <w:rsid w:val="00256B7F"/>
    <w:rsid w:val="002572AB"/>
    <w:rsid w:val="00257E72"/>
    <w:rsid w:val="00257ECC"/>
    <w:rsid w:val="0026174D"/>
    <w:rsid w:val="00262172"/>
    <w:rsid w:val="002625D3"/>
    <w:rsid w:val="00262913"/>
    <w:rsid w:val="00263368"/>
    <w:rsid w:val="002654E5"/>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0D42"/>
    <w:rsid w:val="002A128E"/>
    <w:rsid w:val="002A1306"/>
    <w:rsid w:val="002A1512"/>
    <w:rsid w:val="002A1A27"/>
    <w:rsid w:val="002A24D0"/>
    <w:rsid w:val="002A4740"/>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B7B9E"/>
    <w:rsid w:val="002C0544"/>
    <w:rsid w:val="002C0F87"/>
    <w:rsid w:val="002C10B6"/>
    <w:rsid w:val="002C13FF"/>
    <w:rsid w:val="002C2429"/>
    <w:rsid w:val="002C2FBB"/>
    <w:rsid w:val="002C3034"/>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03BA"/>
    <w:rsid w:val="002E18F3"/>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302230"/>
    <w:rsid w:val="00302DD8"/>
    <w:rsid w:val="0030478E"/>
    <w:rsid w:val="003053A9"/>
    <w:rsid w:val="003054E4"/>
    <w:rsid w:val="00305B63"/>
    <w:rsid w:val="003061BD"/>
    <w:rsid w:val="00306265"/>
    <w:rsid w:val="00306A77"/>
    <w:rsid w:val="00306D3C"/>
    <w:rsid w:val="00310036"/>
    <w:rsid w:val="003100C9"/>
    <w:rsid w:val="00310CAB"/>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351"/>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DA0"/>
    <w:rsid w:val="00340F29"/>
    <w:rsid w:val="0034184D"/>
    <w:rsid w:val="00341A42"/>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37E0"/>
    <w:rsid w:val="0036480A"/>
    <w:rsid w:val="00367970"/>
    <w:rsid w:val="003679E5"/>
    <w:rsid w:val="00367A1D"/>
    <w:rsid w:val="0037012D"/>
    <w:rsid w:val="003708EA"/>
    <w:rsid w:val="00372321"/>
    <w:rsid w:val="00373F92"/>
    <w:rsid w:val="003753CB"/>
    <w:rsid w:val="00375730"/>
    <w:rsid w:val="00375ACD"/>
    <w:rsid w:val="00375E62"/>
    <w:rsid w:val="00376B37"/>
    <w:rsid w:val="00377FEF"/>
    <w:rsid w:val="00380BAA"/>
    <w:rsid w:val="0038124E"/>
    <w:rsid w:val="003826D8"/>
    <w:rsid w:val="00383E02"/>
    <w:rsid w:val="003847D0"/>
    <w:rsid w:val="00384CF4"/>
    <w:rsid w:val="0038583A"/>
    <w:rsid w:val="0038675D"/>
    <w:rsid w:val="00387600"/>
    <w:rsid w:val="00387744"/>
    <w:rsid w:val="00391A22"/>
    <w:rsid w:val="00392136"/>
    <w:rsid w:val="00394948"/>
    <w:rsid w:val="0039559A"/>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C7C9A"/>
    <w:rsid w:val="003D06A1"/>
    <w:rsid w:val="003D0A6A"/>
    <w:rsid w:val="003D109F"/>
    <w:rsid w:val="003D1A53"/>
    <w:rsid w:val="003D1BAA"/>
    <w:rsid w:val="003D20E7"/>
    <w:rsid w:val="003D2DCD"/>
    <w:rsid w:val="003D3808"/>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7182"/>
    <w:rsid w:val="00407C4A"/>
    <w:rsid w:val="004122C3"/>
    <w:rsid w:val="00412652"/>
    <w:rsid w:val="00413016"/>
    <w:rsid w:val="00413F14"/>
    <w:rsid w:val="00417214"/>
    <w:rsid w:val="004174A8"/>
    <w:rsid w:val="00417872"/>
    <w:rsid w:val="00417BAD"/>
    <w:rsid w:val="0042117D"/>
    <w:rsid w:val="004217A0"/>
    <w:rsid w:val="004219E9"/>
    <w:rsid w:val="00422219"/>
    <w:rsid w:val="004222D6"/>
    <w:rsid w:val="0042343B"/>
    <w:rsid w:val="004244FC"/>
    <w:rsid w:val="00424698"/>
    <w:rsid w:val="0042499B"/>
    <w:rsid w:val="004258A9"/>
    <w:rsid w:val="004267A2"/>
    <w:rsid w:val="0042788F"/>
    <w:rsid w:val="00430077"/>
    <w:rsid w:val="00430D88"/>
    <w:rsid w:val="00430FC7"/>
    <w:rsid w:val="00431063"/>
    <w:rsid w:val="00431785"/>
    <w:rsid w:val="00431F4B"/>
    <w:rsid w:val="00432183"/>
    <w:rsid w:val="00432BD2"/>
    <w:rsid w:val="00432FFB"/>
    <w:rsid w:val="0043314B"/>
    <w:rsid w:val="004332C4"/>
    <w:rsid w:val="00433693"/>
    <w:rsid w:val="00433770"/>
    <w:rsid w:val="0043430D"/>
    <w:rsid w:val="004350F4"/>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96E"/>
    <w:rsid w:val="00452F47"/>
    <w:rsid w:val="00453902"/>
    <w:rsid w:val="00453B3E"/>
    <w:rsid w:val="004546EE"/>
    <w:rsid w:val="004555C1"/>
    <w:rsid w:val="00456662"/>
    <w:rsid w:val="0045684B"/>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6418"/>
    <w:rsid w:val="004877AB"/>
    <w:rsid w:val="0048787E"/>
    <w:rsid w:val="00490C42"/>
    <w:rsid w:val="00490E84"/>
    <w:rsid w:val="004930FB"/>
    <w:rsid w:val="004932AF"/>
    <w:rsid w:val="004941A2"/>
    <w:rsid w:val="00495ADD"/>
    <w:rsid w:val="00496B96"/>
    <w:rsid w:val="00497ED4"/>
    <w:rsid w:val="004A16FD"/>
    <w:rsid w:val="004A19BF"/>
    <w:rsid w:val="004A1CB6"/>
    <w:rsid w:val="004A391C"/>
    <w:rsid w:val="004A40F5"/>
    <w:rsid w:val="004A58A4"/>
    <w:rsid w:val="004A6C53"/>
    <w:rsid w:val="004A7367"/>
    <w:rsid w:val="004B133B"/>
    <w:rsid w:val="004B38A5"/>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2F30"/>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B97"/>
    <w:rsid w:val="00524D84"/>
    <w:rsid w:val="0052504F"/>
    <w:rsid w:val="0052510B"/>
    <w:rsid w:val="005254B6"/>
    <w:rsid w:val="005258FC"/>
    <w:rsid w:val="00526831"/>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6C7B"/>
    <w:rsid w:val="00557546"/>
    <w:rsid w:val="005578ED"/>
    <w:rsid w:val="005579A9"/>
    <w:rsid w:val="00557E66"/>
    <w:rsid w:val="0056037B"/>
    <w:rsid w:val="00560FAB"/>
    <w:rsid w:val="0056172F"/>
    <w:rsid w:val="00561A8C"/>
    <w:rsid w:val="00561E37"/>
    <w:rsid w:val="005637B5"/>
    <w:rsid w:val="00566918"/>
    <w:rsid w:val="00566C38"/>
    <w:rsid w:val="00571185"/>
    <w:rsid w:val="00572758"/>
    <w:rsid w:val="0057332D"/>
    <w:rsid w:val="005735C2"/>
    <w:rsid w:val="00573736"/>
    <w:rsid w:val="00574BF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215"/>
    <w:rsid w:val="005B16F2"/>
    <w:rsid w:val="005B18BE"/>
    <w:rsid w:val="005B1940"/>
    <w:rsid w:val="005B2557"/>
    <w:rsid w:val="005B2826"/>
    <w:rsid w:val="005B2929"/>
    <w:rsid w:val="005B38BB"/>
    <w:rsid w:val="005B3AA8"/>
    <w:rsid w:val="005B46AD"/>
    <w:rsid w:val="005B4960"/>
    <w:rsid w:val="005B4F34"/>
    <w:rsid w:val="005B508D"/>
    <w:rsid w:val="005B51B3"/>
    <w:rsid w:val="005B5215"/>
    <w:rsid w:val="005B5A13"/>
    <w:rsid w:val="005C0249"/>
    <w:rsid w:val="005C0647"/>
    <w:rsid w:val="005C1BA5"/>
    <w:rsid w:val="005C1F67"/>
    <w:rsid w:val="005C346B"/>
    <w:rsid w:val="005C3A6C"/>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AE5"/>
    <w:rsid w:val="00600D14"/>
    <w:rsid w:val="0060142B"/>
    <w:rsid w:val="00602806"/>
    <w:rsid w:val="006033A5"/>
    <w:rsid w:val="006035DD"/>
    <w:rsid w:val="00604B51"/>
    <w:rsid w:val="006051BB"/>
    <w:rsid w:val="00605A79"/>
    <w:rsid w:val="00605D91"/>
    <w:rsid w:val="00606905"/>
    <w:rsid w:val="00606CC5"/>
    <w:rsid w:val="00607D9C"/>
    <w:rsid w:val="00607E88"/>
    <w:rsid w:val="006101A6"/>
    <w:rsid w:val="00610862"/>
    <w:rsid w:val="006108B6"/>
    <w:rsid w:val="0061213A"/>
    <w:rsid w:val="006125B0"/>
    <w:rsid w:val="00612815"/>
    <w:rsid w:val="00612918"/>
    <w:rsid w:val="00614BC5"/>
    <w:rsid w:val="00615B68"/>
    <w:rsid w:val="006167A8"/>
    <w:rsid w:val="00616D65"/>
    <w:rsid w:val="00617064"/>
    <w:rsid w:val="00621CFE"/>
    <w:rsid w:val="006223F5"/>
    <w:rsid w:val="0062293A"/>
    <w:rsid w:val="00625E67"/>
    <w:rsid w:val="00626158"/>
    <w:rsid w:val="00626E68"/>
    <w:rsid w:val="00627126"/>
    <w:rsid w:val="00627B1F"/>
    <w:rsid w:val="006302F3"/>
    <w:rsid w:val="0063060B"/>
    <w:rsid w:val="00631B22"/>
    <w:rsid w:val="00632FBF"/>
    <w:rsid w:val="00633157"/>
    <w:rsid w:val="0063338E"/>
    <w:rsid w:val="00633754"/>
    <w:rsid w:val="00635DC7"/>
    <w:rsid w:val="00635DEC"/>
    <w:rsid w:val="0063731D"/>
    <w:rsid w:val="006405D6"/>
    <w:rsid w:val="0064083B"/>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4AEF"/>
    <w:rsid w:val="00685579"/>
    <w:rsid w:val="00686D52"/>
    <w:rsid w:val="006872F3"/>
    <w:rsid w:val="00690305"/>
    <w:rsid w:val="006909C7"/>
    <w:rsid w:val="00690B64"/>
    <w:rsid w:val="00691C30"/>
    <w:rsid w:val="00692226"/>
    <w:rsid w:val="0069298C"/>
    <w:rsid w:val="00692A6E"/>
    <w:rsid w:val="00692D50"/>
    <w:rsid w:val="006936F3"/>
    <w:rsid w:val="0069441D"/>
    <w:rsid w:val="00694CCD"/>
    <w:rsid w:val="00695C54"/>
    <w:rsid w:val="00695CAA"/>
    <w:rsid w:val="006967BE"/>
    <w:rsid w:val="00696CD1"/>
    <w:rsid w:val="006974DD"/>
    <w:rsid w:val="006977A3"/>
    <w:rsid w:val="00697C2B"/>
    <w:rsid w:val="00697CC3"/>
    <w:rsid w:val="006A075B"/>
    <w:rsid w:val="006A1AF6"/>
    <w:rsid w:val="006A1E66"/>
    <w:rsid w:val="006A2CC5"/>
    <w:rsid w:val="006A42DE"/>
    <w:rsid w:val="006A4C14"/>
    <w:rsid w:val="006A6015"/>
    <w:rsid w:val="006A6051"/>
    <w:rsid w:val="006A60C8"/>
    <w:rsid w:val="006A6104"/>
    <w:rsid w:val="006A6A8F"/>
    <w:rsid w:val="006A6D31"/>
    <w:rsid w:val="006A6EDC"/>
    <w:rsid w:val="006B12AB"/>
    <w:rsid w:val="006B14E8"/>
    <w:rsid w:val="006B1B50"/>
    <w:rsid w:val="006B26B7"/>
    <w:rsid w:val="006B5046"/>
    <w:rsid w:val="006B59A8"/>
    <w:rsid w:val="006B67F9"/>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C4E"/>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7368"/>
    <w:rsid w:val="0078066D"/>
    <w:rsid w:val="0078142F"/>
    <w:rsid w:val="00782317"/>
    <w:rsid w:val="007834E1"/>
    <w:rsid w:val="00785695"/>
    <w:rsid w:val="007861F4"/>
    <w:rsid w:val="00786683"/>
    <w:rsid w:val="00786CB0"/>
    <w:rsid w:val="00786EA4"/>
    <w:rsid w:val="0078705C"/>
    <w:rsid w:val="007873B8"/>
    <w:rsid w:val="00790D0B"/>
    <w:rsid w:val="007920A2"/>
    <w:rsid w:val="0079263F"/>
    <w:rsid w:val="007932F4"/>
    <w:rsid w:val="00793AF2"/>
    <w:rsid w:val="00793B0A"/>
    <w:rsid w:val="00794BA0"/>
    <w:rsid w:val="00794EA9"/>
    <w:rsid w:val="00795814"/>
    <w:rsid w:val="00796EF7"/>
    <w:rsid w:val="00797675"/>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3E8D"/>
    <w:rsid w:val="007D4433"/>
    <w:rsid w:val="007D4B2D"/>
    <w:rsid w:val="007D50B6"/>
    <w:rsid w:val="007D51F7"/>
    <w:rsid w:val="007D6449"/>
    <w:rsid w:val="007D6683"/>
    <w:rsid w:val="007D7A1F"/>
    <w:rsid w:val="007E18EC"/>
    <w:rsid w:val="007E3807"/>
    <w:rsid w:val="007E45D0"/>
    <w:rsid w:val="007E5572"/>
    <w:rsid w:val="007E55D6"/>
    <w:rsid w:val="007E6066"/>
    <w:rsid w:val="007E63A0"/>
    <w:rsid w:val="007E6EAA"/>
    <w:rsid w:val="007E6F46"/>
    <w:rsid w:val="007E7B9D"/>
    <w:rsid w:val="007F1017"/>
    <w:rsid w:val="007F1C18"/>
    <w:rsid w:val="007F2068"/>
    <w:rsid w:val="007F2816"/>
    <w:rsid w:val="007F2B18"/>
    <w:rsid w:val="007F2CB2"/>
    <w:rsid w:val="007F5333"/>
    <w:rsid w:val="007F53DD"/>
    <w:rsid w:val="007F6178"/>
    <w:rsid w:val="007F702A"/>
    <w:rsid w:val="007F785F"/>
    <w:rsid w:val="00800E20"/>
    <w:rsid w:val="00801CA9"/>
    <w:rsid w:val="00801D3D"/>
    <w:rsid w:val="00802273"/>
    <w:rsid w:val="00802A3A"/>
    <w:rsid w:val="0080362E"/>
    <w:rsid w:val="008036A9"/>
    <w:rsid w:val="00803EB0"/>
    <w:rsid w:val="008042D1"/>
    <w:rsid w:val="008047BA"/>
    <w:rsid w:val="008050A1"/>
    <w:rsid w:val="00806C0C"/>
    <w:rsid w:val="00807749"/>
    <w:rsid w:val="00810BAE"/>
    <w:rsid w:val="00811686"/>
    <w:rsid w:val="0081205F"/>
    <w:rsid w:val="00812113"/>
    <w:rsid w:val="00813B12"/>
    <w:rsid w:val="0081434A"/>
    <w:rsid w:val="008153F8"/>
    <w:rsid w:val="00815453"/>
    <w:rsid w:val="008169B2"/>
    <w:rsid w:val="00816B5E"/>
    <w:rsid w:val="00820B48"/>
    <w:rsid w:val="00820FF1"/>
    <w:rsid w:val="00821119"/>
    <w:rsid w:val="0082311E"/>
    <w:rsid w:val="008246F3"/>
    <w:rsid w:val="00825F09"/>
    <w:rsid w:val="008260BC"/>
    <w:rsid w:val="008265D8"/>
    <w:rsid w:val="008267AD"/>
    <w:rsid w:val="00826BC7"/>
    <w:rsid w:val="00830250"/>
    <w:rsid w:val="00830A69"/>
    <w:rsid w:val="0083149E"/>
    <w:rsid w:val="008331FC"/>
    <w:rsid w:val="00834371"/>
    <w:rsid w:val="00835C42"/>
    <w:rsid w:val="00835C5B"/>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6086A"/>
    <w:rsid w:val="0086153C"/>
    <w:rsid w:val="0086160E"/>
    <w:rsid w:val="00861D34"/>
    <w:rsid w:val="00861E90"/>
    <w:rsid w:val="00861EB2"/>
    <w:rsid w:val="00863370"/>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B3A"/>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C0F1B"/>
    <w:rsid w:val="008C2317"/>
    <w:rsid w:val="008C5D6A"/>
    <w:rsid w:val="008C5E3E"/>
    <w:rsid w:val="008C7912"/>
    <w:rsid w:val="008C7C00"/>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0C5A"/>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493"/>
    <w:rsid w:val="00916612"/>
    <w:rsid w:val="0091762F"/>
    <w:rsid w:val="00917E8E"/>
    <w:rsid w:val="00917FDF"/>
    <w:rsid w:val="00921217"/>
    <w:rsid w:val="00921E21"/>
    <w:rsid w:val="009221E3"/>
    <w:rsid w:val="009224C2"/>
    <w:rsid w:val="00922ACD"/>
    <w:rsid w:val="00922FEC"/>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0E35"/>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974"/>
    <w:rsid w:val="009A2E94"/>
    <w:rsid w:val="009A368C"/>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36"/>
    <w:rsid w:val="009C638A"/>
    <w:rsid w:val="009C7101"/>
    <w:rsid w:val="009C714F"/>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D9E"/>
    <w:rsid w:val="00A52F0A"/>
    <w:rsid w:val="00A55E69"/>
    <w:rsid w:val="00A56119"/>
    <w:rsid w:val="00A5628F"/>
    <w:rsid w:val="00A56DA5"/>
    <w:rsid w:val="00A56E00"/>
    <w:rsid w:val="00A615B0"/>
    <w:rsid w:val="00A6173C"/>
    <w:rsid w:val="00A61908"/>
    <w:rsid w:val="00A627A4"/>
    <w:rsid w:val="00A6404A"/>
    <w:rsid w:val="00A64CC0"/>
    <w:rsid w:val="00A65088"/>
    <w:rsid w:val="00A65E73"/>
    <w:rsid w:val="00A66945"/>
    <w:rsid w:val="00A66E55"/>
    <w:rsid w:val="00A67D35"/>
    <w:rsid w:val="00A710ED"/>
    <w:rsid w:val="00A714CD"/>
    <w:rsid w:val="00A71C7A"/>
    <w:rsid w:val="00A74D0C"/>
    <w:rsid w:val="00A74EE6"/>
    <w:rsid w:val="00A75346"/>
    <w:rsid w:val="00A760A1"/>
    <w:rsid w:val="00A76252"/>
    <w:rsid w:val="00A76895"/>
    <w:rsid w:val="00A774F3"/>
    <w:rsid w:val="00A77F35"/>
    <w:rsid w:val="00A81F28"/>
    <w:rsid w:val="00A82AC2"/>
    <w:rsid w:val="00A84929"/>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C3383"/>
    <w:rsid w:val="00AC38F5"/>
    <w:rsid w:val="00AC3A84"/>
    <w:rsid w:val="00AC401E"/>
    <w:rsid w:val="00AC4501"/>
    <w:rsid w:val="00AC4DB7"/>
    <w:rsid w:val="00AC4E77"/>
    <w:rsid w:val="00AC561E"/>
    <w:rsid w:val="00AC61AF"/>
    <w:rsid w:val="00AC7369"/>
    <w:rsid w:val="00AC7CFA"/>
    <w:rsid w:val="00AD2100"/>
    <w:rsid w:val="00AD46A2"/>
    <w:rsid w:val="00AD48CE"/>
    <w:rsid w:val="00AD5741"/>
    <w:rsid w:val="00AD58BF"/>
    <w:rsid w:val="00AD5E14"/>
    <w:rsid w:val="00AD65C5"/>
    <w:rsid w:val="00AD75E0"/>
    <w:rsid w:val="00AD7B4E"/>
    <w:rsid w:val="00AE0E0E"/>
    <w:rsid w:val="00AE0EF3"/>
    <w:rsid w:val="00AE0EF8"/>
    <w:rsid w:val="00AE2057"/>
    <w:rsid w:val="00AE221D"/>
    <w:rsid w:val="00AE2326"/>
    <w:rsid w:val="00AE345B"/>
    <w:rsid w:val="00AE4FA2"/>
    <w:rsid w:val="00AE5162"/>
    <w:rsid w:val="00AE75BA"/>
    <w:rsid w:val="00AE7F41"/>
    <w:rsid w:val="00AF09A5"/>
    <w:rsid w:val="00AF14AF"/>
    <w:rsid w:val="00AF1AD0"/>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2A58"/>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40FCF"/>
    <w:rsid w:val="00B41944"/>
    <w:rsid w:val="00B41A1D"/>
    <w:rsid w:val="00B42085"/>
    <w:rsid w:val="00B44457"/>
    <w:rsid w:val="00B449E1"/>
    <w:rsid w:val="00B44FB2"/>
    <w:rsid w:val="00B4735F"/>
    <w:rsid w:val="00B476AD"/>
    <w:rsid w:val="00B47AA7"/>
    <w:rsid w:val="00B51341"/>
    <w:rsid w:val="00B5217E"/>
    <w:rsid w:val="00B532A3"/>
    <w:rsid w:val="00B54013"/>
    <w:rsid w:val="00B5438B"/>
    <w:rsid w:val="00B55393"/>
    <w:rsid w:val="00B56D63"/>
    <w:rsid w:val="00B56D8B"/>
    <w:rsid w:val="00B607AA"/>
    <w:rsid w:val="00B60939"/>
    <w:rsid w:val="00B62331"/>
    <w:rsid w:val="00B62D80"/>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672"/>
    <w:rsid w:val="00B75A30"/>
    <w:rsid w:val="00B76433"/>
    <w:rsid w:val="00B76701"/>
    <w:rsid w:val="00B76B99"/>
    <w:rsid w:val="00B823E2"/>
    <w:rsid w:val="00B82F50"/>
    <w:rsid w:val="00B83315"/>
    <w:rsid w:val="00B843F1"/>
    <w:rsid w:val="00B85593"/>
    <w:rsid w:val="00B9053E"/>
    <w:rsid w:val="00B91B98"/>
    <w:rsid w:val="00B93C9C"/>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27F8F"/>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4F6F"/>
    <w:rsid w:val="00C75023"/>
    <w:rsid w:val="00C75488"/>
    <w:rsid w:val="00C75D53"/>
    <w:rsid w:val="00C7626E"/>
    <w:rsid w:val="00C764F5"/>
    <w:rsid w:val="00C766F3"/>
    <w:rsid w:val="00C77D48"/>
    <w:rsid w:val="00C80372"/>
    <w:rsid w:val="00C8099E"/>
    <w:rsid w:val="00C80A62"/>
    <w:rsid w:val="00C80A8B"/>
    <w:rsid w:val="00C817F7"/>
    <w:rsid w:val="00C81BE8"/>
    <w:rsid w:val="00C81CF8"/>
    <w:rsid w:val="00C82F3E"/>
    <w:rsid w:val="00C8322A"/>
    <w:rsid w:val="00C84533"/>
    <w:rsid w:val="00C84EE5"/>
    <w:rsid w:val="00C85083"/>
    <w:rsid w:val="00C91ACD"/>
    <w:rsid w:val="00C92FE3"/>
    <w:rsid w:val="00C931A2"/>
    <w:rsid w:val="00C93B9E"/>
    <w:rsid w:val="00C94578"/>
    <w:rsid w:val="00C95365"/>
    <w:rsid w:val="00C95FE5"/>
    <w:rsid w:val="00CA1EB9"/>
    <w:rsid w:val="00CA4625"/>
    <w:rsid w:val="00CA467E"/>
    <w:rsid w:val="00CA4C2C"/>
    <w:rsid w:val="00CA535D"/>
    <w:rsid w:val="00CA5F12"/>
    <w:rsid w:val="00CA7229"/>
    <w:rsid w:val="00CA7A6F"/>
    <w:rsid w:val="00CB15B0"/>
    <w:rsid w:val="00CB357B"/>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C7D60"/>
    <w:rsid w:val="00CD11F1"/>
    <w:rsid w:val="00CD2BC9"/>
    <w:rsid w:val="00CD5497"/>
    <w:rsid w:val="00CD5F7D"/>
    <w:rsid w:val="00CD63D5"/>
    <w:rsid w:val="00CD6E64"/>
    <w:rsid w:val="00CD7514"/>
    <w:rsid w:val="00CE0AA0"/>
    <w:rsid w:val="00CE0D57"/>
    <w:rsid w:val="00CE102E"/>
    <w:rsid w:val="00CE1542"/>
    <w:rsid w:val="00CE15EF"/>
    <w:rsid w:val="00CE1C62"/>
    <w:rsid w:val="00CE2313"/>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705"/>
    <w:rsid w:val="00D22EA6"/>
    <w:rsid w:val="00D2427A"/>
    <w:rsid w:val="00D245A7"/>
    <w:rsid w:val="00D24E9B"/>
    <w:rsid w:val="00D25F97"/>
    <w:rsid w:val="00D27234"/>
    <w:rsid w:val="00D27D88"/>
    <w:rsid w:val="00D32EA4"/>
    <w:rsid w:val="00D347DE"/>
    <w:rsid w:val="00D34CC2"/>
    <w:rsid w:val="00D35EA2"/>
    <w:rsid w:val="00D371A8"/>
    <w:rsid w:val="00D37A55"/>
    <w:rsid w:val="00D40E01"/>
    <w:rsid w:val="00D413B1"/>
    <w:rsid w:val="00D436EE"/>
    <w:rsid w:val="00D43743"/>
    <w:rsid w:val="00D446D4"/>
    <w:rsid w:val="00D44A1A"/>
    <w:rsid w:val="00D46590"/>
    <w:rsid w:val="00D465F2"/>
    <w:rsid w:val="00D4710A"/>
    <w:rsid w:val="00D47F9A"/>
    <w:rsid w:val="00D5072B"/>
    <w:rsid w:val="00D50F5A"/>
    <w:rsid w:val="00D5194E"/>
    <w:rsid w:val="00D5457A"/>
    <w:rsid w:val="00D54C93"/>
    <w:rsid w:val="00D55B5E"/>
    <w:rsid w:val="00D5642F"/>
    <w:rsid w:val="00D56D9A"/>
    <w:rsid w:val="00D576BB"/>
    <w:rsid w:val="00D57D59"/>
    <w:rsid w:val="00D62E03"/>
    <w:rsid w:val="00D63D06"/>
    <w:rsid w:val="00D63F70"/>
    <w:rsid w:val="00D644ED"/>
    <w:rsid w:val="00D64FF3"/>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0F2D"/>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177F"/>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47210"/>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221E"/>
    <w:rsid w:val="00E72521"/>
    <w:rsid w:val="00E732A3"/>
    <w:rsid w:val="00E74A1D"/>
    <w:rsid w:val="00E74D45"/>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1A8"/>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E6EF0"/>
    <w:rsid w:val="00EF01AD"/>
    <w:rsid w:val="00EF04E8"/>
    <w:rsid w:val="00EF2A43"/>
    <w:rsid w:val="00EF3481"/>
    <w:rsid w:val="00EF5279"/>
    <w:rsid w:val="00EF6B33"/>
    <w:rsid w:val="00EF72FC"/>
    <w:rsid w:val="00EF7E86"/>
    <w:rsid w:val="00F00682"/>
    <w:rsid w:val="00F00866"/>
    <w:rsid w:val="00F017FD"/>
    <w:rsid w:val="00F01DE1"/>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54B8"/>
    <w:rsid w:val="00F154E5"/>
    <w:rsid w:val="00F1798E"/>
    <w:rsid w:val="00F21E95"/>
    <w:rsid w:val="00F22E66"/>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565"/>
    <w:rsid w:val="00F43E67"/>
    <w:rsid w:val="00F44350"/>
    <w:rsid w:val="00F443E5"/>
    <w:rsid w:val="00F45AA6"/>
    <w:rsid w:val="00F45F5C"/>
    <w:rsid w:val="00F46CE8"/>
    <w:rsid w:val="00F47AA5"/>
    <w:rsid w:val="00F50122"/>
    <w:rsid w:val="00F51EF6"/>
    <w:rsid w:val="00F52555"/>
    <w:rsid w:val="00F53341"/>
    <w:rsid w:val="00F547CF"/>
    <w:rsid w:val="00F54F29"/>
    <w:rsid w:val="00F55980"/>
    <w:rsid w:val="00F563C4"/>
    <w:rsid w:val="00F57595"/>
    <w:rsid w:val="00F575A6"/>
    <w:rsid w:val="00F60251"/>
    <w:rsid w:val="00F6074E"/>
    <w:rsid w:val="00F6109D"/>
    <w:rsid w:val="00F626E0"/>
    <w:rsid w:val="00F650B8"/>
    <w:rsid w:val="00F65DF6"/>
    <w:rsid w:val="00F66678"/>
    <w:rsid w:val="00F708DF"/>
    <w:rsid w:val="00F7327B"/>
    <w:rsid w:val="00F74ABA"/>
    <w:rsid w:val="00F74F05"/>
    <w:rsid w:val="00F75156"/>
    <w:rsid w:val="00F75316"/>
    <w:rsid w:val="00F804B0"/>
    <w:rsid w:val="00F809DC"/>
    <w:rsid w:val="00F80BE8"/>
    <w:rsid w:val="00F80E0B"/>
    <w:rsid w:val="00F81A23"/>
    <w:rsid w:val="00F820F4"/>
    <w:rsid w:val="00F83D75"/>
    <w:rsid w:val="00F84926"/>
    <w:rsid w:val="00F864A8"/>
    <w:rsid w:val="00F86E94"/>
    <w:rsid w:val="00F878EF"/>
    <w:rsid w:val="00F87BA3"/>
    <w:rsid w:val="00F87DDF"/>
    <w:rsid w:val="00F90BE3"/>
    <w:rsid w:val="00F90C5A"/>
    <w:rsid w:val="00F91EFC"/>
    <w:rsid w:val="00F920DC"/>
    <w:rsid w:val="00F928E0"/>
    <w:rsid w:val="00F92E39"/>
    <w:rsid w:val="00F9431B"/>
    <w:rsid w:val="00F94F15"/>
    <w:rsid w:val="00F96136"/>
    <w:rsid w:val="00F96E77"/>
    <w:rsid w:val="00F96EB5"/>
    <w:rsid w:val="00F9726A"/>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A78"/>
    <w:rsid w:val="00FD3B74"/>
    <w:rsid w:val="00FD3FD7"/>
    <w:rsid w:val="00FD560D"/>
    <w:rsid w:val="00FD5F71"/>
    <w:rsid w:val="00FD6784"/>
    <w:rsid w:val="00FD69BF"/>
    <w:rsid w:val="00FD6D26"/>
    <w:rsid w:val="00FD7260"/>
    <w:rsid w:val="00FE03A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0A2A"/>
    <w:rsid w:val="00FF1E5F"/>
    <w:rsid w:val="00FF2410"/>
    <w:rsid w:val="00FF2636"/>
    <w:rsid w:val="00FF3799"/>
    <w:rsid w:val="00FF4236"/>
    <w:rsid w:val="00FF5F63"/>
    <w:rsid w:val="00FF63ED"/>
    <w:rsid w:val="00FF663C"/>
    <w:rsid w:val="00FF6F71"/>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534BD2"/>
    <w:rsid w:val="2072CADD"/>
    <w:rsid w:val="23A301D7"/>
    <w:rsid w:val="23C6F51E"/>
    <w:rsid w:val="23D150B5"/>
    <w:rsid w:val="24117B15"/>
    <w:rsid w:val="24DC98E1"/>
    <w:rsid w:val="26A9D1AE"/>
    <w:rsid w:val="26FD1825"/>
    <w:rsid w:val="27F3BE92"/>
    <w:rsid w:val="288A9244"/>
    <w:rsid w:val="29A5B77A"/>
    <w:rsid w:val="2B80D2F0"/>
    <w:rsid w:val="2B9EF120"/>
    <w:rsid w:val="2C1E1BC3"/>
    <w:rsid w:val="2C5BED17"/>
    <w:rsid w:val="2DC810C2"/>
    <w:rsid w:val="32F803DD"/>
    <w:rsid w:val="3332EB59"/>
    <w:rsid w:val="37A89AD4"/>
    <w:rsid w:val="38E499DF"/>
    <w:rsid w:val="3A3B18D6"/>
    <w:rsid w:val="3AFAB361"/>
    <w:rsid w:val="3B97F0FB"/>
    <w:rsid w:val="3F6960F3"/>
    <w:rsid w:val="3FE50857"/>
    <w:rsid w:val="40D0C315"/>
    <w:rsid w:val="439072E1"/>
    <w:rsid w:val="456F6FA2"/>
    <w:rsid w:val="4594F825"/>
    <w:rsid w:val="4688CF41"/>
    <w:rsid w:val="475963D1"/>
    <w:rsid w:val="4833E23B"/>
    <w:rsid w:val="4B139031"/>
    <w:rsid w:val="4B3248E7"/>
    <w:rsid w:val="4B7A7039"/>
    <w:rsid w:val="4B9970E0"/>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C0E197D"/>
    <w:rsid w:val="6E4220A8"/>
    <w:rsid w:val="6E911976"/>
    <w:rsid w:val="6F25337E"/>
    <w:rsid w:val="6FD05640"/>
    <w:rsid w:val="71EB8EFE"/>
    <w:rsid w:val="72CEA8F3"/>
    <w:rsid w:val="7464BF3F"/>
    <w:rsid w:val="746BDE3E"/>
    <w:rsid w:val="753B3D26"/>
    <w:rsid w:val="75AB7623"/>
    <w:rsid w:val="7761EE7F"/>
    <w:rsid w:val="77F2CA49"/>
    <w:rsid w:val="7B9157AA"/>
    <w:rsid w:val="7C0ED242"/>
    <w:rsid w:val="7FFCE0DF"/>
    <w:rsid w:val="EBECBBA4"/>
  </w:rsids>
  <m:mathPr>
    <m:mathFont m:val="Cambria Math"/>
    <m:brkBin m:val="before"/>
    <m:brkBinSub m:val="--"/>
    <m:smallFrac m:val="0"/>
    <m:dispDef/>
    <m:lMargin m:val="0"/>
    <m:rMargin m:val="0"/>
    <m:defJc m:val="centerGroup"/>
    <m:wrapIndent m:val="1440"/>
    <m:intLim m:val="subSup"/>
    <m:naryLim m:val="undOvr"/>
  </m:mathPr>
  <w:doNotAutoCompressPictures/>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sz w:val="18"/>
      <w:szCs w:val="22"/>
      <w:lang w:val="en-GB" w:eastAsia="zh-CN" w:bidi="ar-SA"/>
    </w:rPr>
  </w:style>
  <w:style w:type="paragraph" w:styleId="2">
    <w:name w:val="heading 1"/>
    <w:basedOn w:val="1"/>
    <w:next w:val="1"/>
    <w:link w:val="26"/>
    <w:qFormat/>
    <w:uiPriority w:val="9"/>
    <w:pPr>
      <w:outlineLvl w:val="0"/>
    </w:pPr>
    <w:rPr>
      <w:b/>
      <w:color w:val="0095D5" w:themeColor="accent1"/>
      <w14:textFill>
        <w14:solidFill>
          <w14:schemeClr w14:val="accent1"/>
        </w14:solidFill>
      </w14:textFill>
    </w:rPr>
  </w:style>
  <w:style w:type="paragraph" w:styleId="3">
    <w:name w:val="heading 2"/>
    <w:basedOn w:val="1"/>
    <w:next w:val="1"/>
    <w:link w:val="28"/>
    <w:unhideWhenUsed/>
    <w:qFormat/>
    <w:uiPriority w:val="9"/>
    <w:pPr>
      <w:outlineLvl w:val="1"/>
    </w:pPr>
    <w:rPr>
      <w:b/>
    </w:rPr>
  </w:style>
  <w:style w:type="paragraph" w:styleId="4">
    <w:name w:val="heading 4"/>
    <w:basedOn w:val="1"/>
    <w:next w:val="1"/>
    <w:link w:val="45"/>
    <w:semiHidden/>
    <w:unhideWhenUsed/>
    <w:qFormat/>
    <w:uiPriority w:val="9"/>
    <w:pPr>
      <w:keepNext/>
      <w:keepLines/>
      <w:spacing w:before="40"/>
      <w:outlineLvl w:val="3"/>
    </w:pPr>
    <w:rPr>
      <w:rFonts w:asciiTheme="majorHAnsi" w:hAnsiTheme="majorHAnsi" w:eastAsiaTheme="majorEastAsia" w:cstheme="majorBidi"/>
      <w:i/>
      <w:iCs/>
      <w:color w:val="0070A0" w:themeColor="accent1" w:themeShade="BF"/>
    </w:rPr>
  </w:style>
  <w:style w:type="paragraph" w:styleId="5">
    <w:name w:val="heading 5"/>
    <w:basedOn w:val="1"/>
    <w:next w:val="1"/>
    <w:link w:val="37"/>
    <w:semiHidden/>
    <w:unhideWhenUsed/>
    <w:qFormat/>
    <w:uiPriority w:val="9"/>
    <w:pPr>
      <w:keepNext/>
      <w:keepLines/>
      <w:spacing w:before="40"/>
      <w:outlineLvl w:val="4"/>
    </w:pPr>
    <w:rPr>
      <w:rFonts w:asciiTheme="majorHAnsi" w:hAnsiTheme="majorHAnsi" w:eastAsiaTheme="majorEastAsia" w:cstheme="majorBidi"/>
      <w:color w:val="0070A0" w:themeColor="accent1" w:themeShade="BF"/>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spacing w:line="210" w:lineRule="atLeast"/>
    </w:pPr>
    <w:rPr>
      <w:sz w:val="15"/>
    </w:rPr>
  </w:style>
  <w:style w:type="paragraph" w:styleId="7">
    <w:name w:val="annotation text"/>
    <w:basedOn w:val="1"/>
    <w:link w:val="57"/>
    <w:unhideWhenUsed/>
    <w:qFormat/>
    <w:uiPriority w:val="99"/>
    <w:pPr>
      <w:spacing w:line="240" w:lineRule="auto"/>
    </w:pPr>
    <w:rPr>
      <w:sz w:val="20"/>
      <w:szCs w:val="20"/>
    </w:rPr>
  </w:style>
  <w:style w:type="paragraph" w:styleId="8">
    <w:name w:val="Balloon Text"/>
    <w:basedOn w:val="1"/>
    <w:link w:val="32"/>
    <w:semiHidden/>
    <w:unhideWhenUsed/>
    <w:qFormat/>
    <w:uiPriority w:val="99"/>
    <w:pPr>
      <w:spacing w:line="240" w:lineRule="auto"/>
    </w:pPr>
    <w:rPr>
      <w:rFonts w:ascii="Segoe UI" w:hAnsi="Segoe UI" w:eastAsia="宋体" w:cs="Segoe UI"/>
      <w:szCs w:val="18"/>
    </w:rPr>
  </w:style>
  <w:style w:type="paragraph" w:styleId="9">
    <w:name w:val="footer"/>
    <w:basedOn w:val="1"/>
    <w:link w:val="23"/>
    <w:unhideWhenUsed/>
    <w:qFormat/>
    <w:uiPriority w:val="99"/>
    <w:pPr>
      <w:spacing w:line="180" w:lineRule="atLeast"/>
    </w:pPr>
    <w:rPr>
      <w:sz w:val="12"/>
    </w:rPr>
  </w:style>
  <w:style w:type="paragraph" w:styleId="10">
    <w:name w:val="header"/>
    <w:basedOn w:val="1"/>
    <w:link w:val="22"/>
    <w:unhideWhenUsed/>
    <w:qFormat/>
    <w:uiPriority w:val="99"/>
    <w:pPr>
      <w:spacing w:line="195" w:lineRule="atLeast"/>
      <w:ind w:right="-1737"/>
      <w:jc w:val="right"/>
    </w:pPr>
    <w:rPr>
      <w:caps/>
      <w:spacing w:val="12"/>
      <w:sz w:val="15"/>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宋体" w:cs="Times New Roman"/>
      <w:sz w:val="24"/>
      <w:szCs w:val="24"/>
      <w:lang w:val="de-DE"/>
    </w:rPr>
  </w:style>
  <w:style w:type="paragraph" w:styleId="12">
    <w:name w:val="Title"/>
    <w:basedOn w:val="1"/>
    <w:next w:val="1"/>
    <w:link w:val="25"/>
    <w:qFormat/>
    <w:uiPriority w:val="10"/>
    <w:pPr>
      <w:spacing w:before="440" w:after="200"/>
      <w:contextualSpacing/>
    </w:pPr>
    <w:rPr>
      <w:sz w:val="24"/>
    </w:rPr>
  </w:style>
  <w:style w:type="paragraph" w:styleId="13">
    <w:name w:val="annotation subject"/>
    <w:basedOn w:val="7"/>
    <w:next w:val="7"/>
    <w:link w:val="58"/>
    <w:semiHidden/>
    <w:unhideWhenUsed/>
    <w:qFormat/>
    <w:uiPriority w:val="99"/>
    <w:rPr>
      <w:b/>
      <w:bCs/>
    </w:rPr>
  </w:style>
  <w:style w:type="table" w:styleId="15">
    <w:name w:val="Table Grid"/>
    <w:basedOn w:val="1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FollowedHyperlink"/>
    <w:basedOn w:val="16"/>
    <w:semiHidden/>
    <w:unhideWhenUsed/>
    <w:qFormat/>
    <w:uiPriority w:val="99"/>
    <w:rPr>
      <w:color w:val="000000" w:themeColor="followedHyperlink"/>
      <w:u w:val="single"/>
      <w14:textFill>
        <w14:solidFill>
          <w14:schemeClr w14:val="folHlink"/>
        </w14:solidFill>
      </w14:textFill>
    </w:rPr>
  </w:style>
  <w:style w:type="character" w:styleId="19">
    <w:name w:val="Emphasis"/>
    <w:basedOn w:val="16"/>
    <w:qFormat/>
    <w:uiPriority w:val="20"/>
    <w:rPr>
      <w:i/>
      <w:iCs/>
    </w:rPr>
  </w:style>
  <w:style w:type="character" w:styleId="20">
    <w:name w:val="Hyperlink"/>
    <w:basedOn w:val="16"/>
    <w:unhideWhenUsed/>
    <w:qFormat/>
    <w:uiPriority w:val="99"/>
    <w:rPr>
      <w:color w:val="000000" w:themeColor="hyperlink"/>
      <w:u w:val="single"/>
      <w14:textFill>
        <w14:solidFill>
          <w14:schemeClr w14:val="hlink"/>
        </w14:solidFill>
      </w14:textFill>
    </w:rPr>
  </w:style>
  <w:style w:type="character" w:styleId="21">
    <w:name w:val="annotation reference"/>
    <w:basedOn w:val="16"/>
    <w:semiHidden/>
    <w:unhideWhenUsed/>
    <w:qFormat/>
    <w:uiPriority w:val="99"/>
    <w:rPr>
      <w:sz w:val="16"/>
      <w:szCs w:val="16"/>
    </w:rPr>
  </w:style>
  <w:style w:type="character" w:customStyle="1" w:styleId="22">
    <w:name w:val="页眉 字符"/>
    <w:basedOn w:val="16"/>
    <w:link w:val="10"/>
    <w:qFormat/>
    <w:uiPriority w:val="99"/>
    <w:rPr>
      <w:caps/>
      <w:spacing w:val="12"/>
      <w:sz w:val="15"/>
      <w:lang w:val="en-GB"/>
    </w:rPr>
  </w:style>
  <w:style w:type="character" w:customStyle="1" w:styleId="23">
    <w:name w:val="页脚 字符"/>
    <w:basedOn w:val="16"/>
    <w:link w:val="9"/>
    <w:qFormat/>
    <w:uiPriority w:val="99"/>
    <w:rPr>
      <w:sz w:val="12"/>
      <w:lang w:val="en-GB"/>
    </w:rPr>
  </w:style>
  <w:style w:type="paragraph" w:customStyle="1" w:styleId="24">
    <w:name w:val="Info"/>
    <w:basedOn w:val="1"/>
    <w:qFormat/>
    <w:uiPriority w:val="0"/>
    <w:pPr>
      <w:spacing w:line="180" w:lineRule="atLeast"/>
    </w:pPr>
    <w:rPr>
      <w:sz w:val="12"/>
    </w:rPr>
  </w:style>
  <w:style w:type="character" w:customStyle="1" w:styleId="25">
    <w:name w:val="标题 字符"/>
    <w:basedOn w:val="16"/>
    <w:link w:val="12"/>
    <w:qFormat/>
    <w:uiPriority w:val="10"/>
    <w:rPr>
      <w:sz w:val="24"/>
      <w:lang w:val="en-GB"/>
    </w:rPr>
  </w:style>
  <w:style w:type="character" w:customStyle="1" w:styleId="26">
    <w:name w:val="标题 1 字符"/>
    <w:basedOn w:val="16"/>
    <w:link w:val="2"/>
    <w:qFormat/>
    <w:uiPriority w:val="9"/>
    <w:rPr>
      <w:b/>
      <w:color w:val="0095D5" w:themeColor="accent1"/>
      <w:sz w:val="18"/>
      <w:lang w:val="en-GB"/>
      <w14:textFill>
        <w14:solidFill>
          <w14:schemeClr w14:val="accent1"/>
        </w14:solidFill>
      </w14:textFill>
    </w:rPr>
  </w:style>
  <w:style w:type="paragraph" w:customStyle="1" w:styleId="27">
    <w:name w:val="Marginal note"/>
    <w:basedOn w:val="1"/>
    <w:qFormat/>
    <w:uiPriority w:val="0"/>
    <w:pPr>
      <w:framePr w:w="1418" w:wrap="around" w:vAnchor="text" w:hAnchor="text" w:x="8194" w:y="41"/>
      <w:spacing w:line="195" w:lineRule="atLeast"/>
    </w:pPr>
    <w:rPr>
      <w:sz w:val="15"/>
    </w:rPr>
  </w:style>
  <w:style w:type="character" w:customStyle="1" w:styleId="28">
    <w:name w:val="标题 2 字符"/>
    <w:basedOn w:val="16"/>
    <w:link w:val="3"/>
    <w:qFormat/>
    <w:uiPriority w:val="9"/>
    <w:rPr>
      <w:b/>
      <w:sz w:val="18"/>
      <w:lang w:val="en-GB"/>
    </w:rPr>
  </w:style>
  <w:style w:type="paragraph" w:customStyle="1" w:styleId="29">
    <w:name w:val="Contact"/>
    <w:basedOn w:val="1"/>
    <w:qFormat/>
    <w:uiPriority w:val="0"/>
    <w:pPr>
      <w:tabs>
        <w:tab w:val="left" w:pos="4111"/>
      </w:tabs>
      <w:spacing w:line="210" w:lineRule="atLeast"/>
    </w:pPr>
    <w:rPr>
      <w:sz w:val="15"/>
    </w:rPr>
  </w:style>
  <w:style w:type="paragraph" w:customStyle="1" w:styleId="30">
    <w:name w:val="Embargo"/>
    <w:basedOn w:val="1"/>
    <w:qFormat/>
    <w:uiPriority w:val="0"/>
    <w:pPr>
      <w:spacing w:after="240"/>
    </w:pPr>
    <w:rPr>
      <w:b/>
      <w:color w:val="FF0A14"/>
    </w:rPr>
  </w:style>
  <w:style w:type="paragraph" w:customStyle="1" w:styleId="31">
    <w:name w:val="About"/>
    <w:basedOn w:val="1"/>
    <w:qFormat/>
    <w:uiPriority w:val="0"/>
    <w:pPr>
      <w:spacing w:line="240" w:lineRule="auto"/>
    </w:pPr>
  </w:style>
  <w:style w:type="character" w:customStyle="1" w:styleId="32">
    <w:name w:val="批注框文本 字符"/>
    <w:basedOn w:val="16"/>
    <w:link w:val="8"/>
    <w:semiHidden/>
    <w:qFormat/>
    <w:uiPriority w:val="99"/>
    <w:rPr>
      <w:rFonts w:ascii="Segoe UI" w:hAnsi="Segoe UI" w:eastAsia="宋体" w:cs="Segoe UI"/>
      <w:sz w:val="18"/>
      <w:szCs w:val="18"/>
      <w:lang w:val="en-GB"/>
    </w:rPr>
  </w:style>
  <w:style w:type="paragraph" w:customStyle="1" w:styleId="33">
    <w:name w:val="senn-regular"/>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character" w:customStyle="1" w:styleId="34">
    <w:name w:val="price__currency-sign"/>
    <w:basedOn w:val="16"/>
    <w:qFormat/>
    <w:uiPriority w:val="0"/>
  </w:style>
  <w:style w:type="character" w:customStyle="1" w:styleId="35">
    <w:name w:val="price__amount"/>
    <w:basedOn w:val="16"/>
    <w:qFormat/>
    <w:uiPriority w:val="0"/>
  </w:style>
  <w:style w:type="paragraph" w:customStyle="1" w:styleId="36">
    <w:name w:val="product-teaser__price__details"/>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character" w:customStyle="1" w:styleId="37">
    <w:name w:val="标题 5 字符"/>
    <w:basedOn w:val="16"/>
    <w:link w:val="5"/>
    <w:semiHidden/>
    <w:qFormat/>
    <w:uiPriority w:val="9"/>
    <w:rPr>
      <w:rFonts w:asciiTheme="majorHAnsi" w:hAnsiTheme="majorHAnsi" w:eastAsiaTheme="majorEastAsia" w:cstheme="majorBidi"/>
      <w:color w:val="0070A0" w:themeColor="accent1" w:themeShade="BF"/>
      <w:sz w:val="18"/>
      <w:lang w:val="en-GB"/>
    </w:rPr>
  </w:style>
  <w:style w:type="paragraph" w:customStyle="1" w:styleId="38">
    <w:name w:val="msonormal"/>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39">
    <w:name w:val="xl20"/>
    <w:basedOn w:val="1"/>
    <w:qFormat/>
    <w:uiPriority w:val="0"/>
    <w:pPr>
      <w:spacing w:before="100" w:beforeAutospacing="1" w:after="100" w:afterAutospacing="1" w:line="240" w:lineRule="auto"/>
    </w:pPr>
    <w:rPr>
      <w:rFonts w:ascii="Times New Roman" w:hAnsi="Times New Roman" w:eastAsia="宋体" w:cs="Times New Roman"/>
      <w:color w:val="0563C1"/>
      <w:sz w:val="24"/>
      <w:szCs w:val="24"/>
      <w:u w:val="single"/>
      <w:lang w:val="de-DE"/>
    </w:rPr>
  </w:style>
  <w:style w:type="paragraph" w:customStyle="1" w:styleId="40">
    <w:name w:val="xl21"/>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41">
    <w:name w:val="xl23"/>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42">
    <w:name w:val="xl26"/>
    <w:basedOn w:val="1"/>
    <w:qFormat/>
    <w:uiPriority w:val="0"/>
    <w:pPr>
      <w:spacing w:before="100" w:beforeAutospacing="1" w:after="100" w:afterAutospacing="1" w:line="240" w:lineRule="auto"/>
      <w:textAlignment w:val="center"/>
    </w:pPr>
    <w:rPr>
      <w:rFonts w:ascii="Times New Roman" w:hAnsi="Times New Roman" w:eastAsia="宋体" w:cs="Times New Roman"/>
      <w:sz w:val="22"/>
      <w:lang w:val="de-DE"/>
    </w:rPr>
  </w:style>
  <w:style w:type="character" w:customStyle="1" w:styleId="43">
    <w:name w:val="Nicht aufgelöste Erwähnung1"/>
    <w:basedOn w:val="16"/>
    <w:semiHidden/>
    <w:unhideWhenUsed/>
    <w:qFormat/>
    <w:uiPriority w:val="99"/>
    <w:rPr>
      <w:color w:val="605E5C"/>
      <w:shd w:val="clear" w:color="auto" w:fill="E1DFDD"/>
    </w:rPr>
  </w:style>
  <w:style w:type="paragraph" w:styleId="44">
    <w:name w:val="List Paragraph"/>
    <w:basedOn w:val="1"/>
    <w:qFormat/>
    <w:uiPriority w:val="34"/>
    <w:pPr>
      <w:ind w:left="720"/>
      <w:contextualSpacing/>
    </w:pPr>
  </w:style>
  <w:style w:type="character" w:customStyle="1" w:styleId="45">
    <w:name w:val="标题 4 字符"/>
    <w:basedOn w:val="16"/>
    <w:link w:val="4"/>
    <w:semiHidden/>
    <w:qFormat/>
    <w:uiPriority w:val="9"/>
    <w:rPr>
      <w:rFonts w:asciiTheme="majorHAnsi" w:hAnsiTheme="majorHAnsi" w:eastAsiaTheme="majorEastAsia" w:cstheme="majorBidi"/>
      <w:i/>
      <w:iCs/>
      <w:color w:val="0070A0" w:themeColor="accent1" w:themeShade="BF"/>
      <w:sz w:val="18"/>
      <w:lang w:val="en-GB"/>
    </w:rPr>
  </w:style>
  <w:style w:type="paragraph" w:customStyle="1" w:styleId="46">
    <w:name w:val="paragraph"/>
    <w:basedOn w:val="1"/>
    <w:qFormat/>
    <w:uiPriority w:val="0"/>
    <w:pPr>
      <w:spacing w:before="100" w:beforeAutospacing="1" w:after="100" w:afterAutospacing="1" w:line="240" w:lineRule="auto"/>
    </w:pPr>
    <w:rPr>
      <w:rFonts w:ascii="Calibri" w:hAnsi="Calibri" w:eastAsia="宋体" w:cs="Calibri"/>
      <w:sz w:val="22"/>
      <w:lang w:val="de-DE"/>
    </w:rPr>
  </w:style>
  <w:style w:type="character" w:customStyle="1" w:styleId="47">
    <w:name w:val="normaltextrun"/>
    <w:basedOn w:val="16"/>
    <w:qFormat/>
    <w:uiPriority w:val="0"/>
  </w:style>
  <w:style w:type="character" w:customStyle="1" w:styleId="48">
    <w:name w:val="eop"/>
    <w:basedOn w:val="16"/>
    <w:qFormat/>
    <w:uiPriority w:val="0"/>
  </w:style>
  <w:style w:type="character" w:customStyle="1" w:styleId="49">
    <w:name w:val="Nicht aufgelöste Erwähnung2"/>
    <w:basedOn w:val="16"/>
    <w:semiHidden/>
    <w:unhideWhenUsed/>
    <w:qFormat/>
    <w:uiPriority w:val="99"/>
    <w:rPr>
      <w:color w:val="605E5C"/>
      <w:shd w:val="clear" w:color="auto" w:fill="E1DFDD"/>
    </w:rPr>
  </w:style>
  <w:style w:type="character" w:customStyle="1" w:styleId="50">
    <w:name w:val="scxw52813454"/>
    <w:basedOn w:val="16"/>
    <w:qFormat/>
    <w:uiPriority w:val="0"/>
  </w:style>
  <w:style w:type="character" w:customStyle="1" w:styleId="51">
    <w:name w:val="ms-h3"/>
    <w:basedOn w:val="16"/>
    <w:qFormat/>
    <w:uiPriority w:val="0"/>
  </w:style>
  <w:style w:type="character" w:customStyle="1" w:styleId="52">
    <w:name w:val="scxw130742757"/>
    <w:basedOn w:val="16"/>
    <w:qFormat/>
    <w:uiPriority w:val="0"/>
  </w:style>
  <w:style w:type="character" w:customStyle="1" w:styleId="53">
    <w:name w:val="ydpb5a3d5bfs1"/>
    <w:basedOn w:val="16"/>
    <w:qFormat/>
    <w:uiPriority w:val="0"/>
  </w:style>
  <w:style w:type="character" w:customStyle="1" w:styleId="54">
    <w:name w:val="Unresolved Mention1"/>
    <w:basedOn w:val="16"/>
    <w:semiHidden/>
    <w:unhideWhenUsed/>
    <w:qFormat/>
    <w:uiPriority w:val="99"/>
    <w:rPr>
      <w:color w:val="605E5C"/>
      <w:shd w:val="clear" w:color="auto" w:fill="E1DFDD"/>
    </w:rPr>
  </w:style>
  <w:style w:type="character" w:customStyle="1" w:styleId="55">
    <w:name w:val="scxw170946324"/>
    <w:basedOn w:val="16"/>
    <w:qFormat/>
    <w:uiPriority w:val="0"/>
  </w:style>
  <w:style w:type="character" w:customStyle="1" w:styleId="56">
    <w:name w:val="bcx9"/>
    <w:basedOn w:val="16"/>
    <w:qFormat/>
    <w:uiPriority w:val="0"/>
  </w:style>
  <w:style w:type="character" w:customStyle="1" w:styleId="57">
    <w:name w:val="批注文字 字符"/>
    <w:basedOn w:val="16"/>
    <w:link w:val="7"/>
    <w:qFormat/>
    <w:uiPriority w:val="99"/>
    <w:rPr>
      <w:sz w:val="20"/>
      <w:szCs w:val="20"/>
      <w:lang w:val="en-GB"/>
    </w:rPr>
  </w:style>
  <w:style w:type="character" w:customStyle="1" w:styleId="58">
    <w:name w:val="批注主题 字符"/>
    <w:basedOn w:val="57"/>
    <w:link w:val="13"/>
    <w:semiHidden/>
    <w:qFormat/>
    <w:uiPriority w:val="99"/>
    <w:rPr>
      <w:b/>
      <w:bCs/>
      <w:sz w:val="20"/>
      <w:szCs w:val="20"/>
      <w:lang w:val="en-GB"/>
    </w:rPr>
  </w:style>
  <w:style w:type="paragraph" w:customStyle="1" w:styleId="59">
    <w:name w:val="Revision1"/>
    <w:hidden/>
    <w:semiHidden/>
    <w:qFormat/>
    <w:uiPriority w:val="99"/>
    <w:rPr>
      <w:rFonts w:asciiTheme="minorHAnsi" w:hAnsiTheme="minorHAnsi" w:eastAsiaTheme="minorEastAsia" w:cstheme="minorBidi"/>
      <w:sz w:val="18"/>
      <w:szCs w:val="22"/>
      <w:lang w:val="en-GB" w:eastAsia="zh-CN" w:bidi="ar-SA"/>
    </w:rPr>
  </w:style>
  <w:style w:type="paragraph" w:customStyle="1" w:styleId="60">
    <w:name w:val="修订1"/>
    <w:hidden/>
    <w:unhideWhenUsed/>
    <w:qFormat/>
    <w:uiPriority w:val="99"/>
    <w:rPr>
      <w:rFonts w:asciiTheme="minorHAnsi" w:hAnsiTheme="minorHAnsi" w:eastAsiaTheme="minorEastAsia" w:cstheme="minorBidi"/>
      <w:sz w:val="18"/>
      <w:szCs w:val="22"/>
      <w:lang w:val="en-GB" w:eastAsia="zh-CN" w:bidi="ar-SA"/>
    </w:rPr>
  </w:style>
  <w:style w:type="paragraph" w:customStyle="1" w:styleId="61">
    <w:name w:val="Revision"/>
    <w:hidden/>
    <w:unhideWhenUsed/>
    <w:qFormat/>
    <w:uiPriority w:val="99"/>
    <w:rPr>
      <w:rFonts w:asciiTheme="minorHAnsi" w:hAnsiTheme="minorHAnsi" w:eastAsiaTheme="minorEastAsia" w:cstheme="minorBidi"/>
      <w:sz w:val="18"/>
      <w:szCs w:val="22"/>
      <w:lang w:val="en-GB" w:eastAsia="zh-CN" w:bidi="ar-SA"/>
    </w:rPr>
  </w:style>
  <w:style w:type="paragraph" w:customStyle="1" w:styleId="62">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Sennheiser electronic GmbH &amp; Co. KG</Company>
  <Pages>3</Pages>
  <Words>1200</Words>
  <Characters>1642</Characters>
  <Lines>15</Lines>
  <Paragraphs>4</Paragraphs>
  <TotalTime>211</TotalTime>
  <ScaleCrop>false</ScaleCrop>
  <LinksUpToDate>false</LinksUpToDate>
  <CharactersWithSpaces>1698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2024-01-04T03:35:00Z</dcterms:created>
  <dc:creator>Sennheiser electronic GmbH &amp; Co. KG</dc:creator>
  <cp:lastModifiedBy>Administrator</cp:lastModifiedBy>
  <cp:lastPrinted>2021-10-10T01:51:00Z</cp:lastPrinted>
  <dcterms:modified xsi:type="dcterms:W3CDTF">2024-01-05T09:08:55Z</dcterms:modified>
  <dc:title>Press Release</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y fmtid="{D5CDD505-2E9C-101B-9397-08002B2CF9AE}" pid="4" name="KSOProductBuildVer">
    <vt:lpwstr>2052-11.1.0.13703</vt:lpwstr>
  </property>
  <property fmtid="{D5CDD505-2E9C-101B-9397-08002B2CF9AE}" pid="5" name="ICV">
    <vt:lpwstr>A73CF10116594BBFAC26CD2D9AC3CE5F</vt:lpwstr>
  </property>
</Properties>
</file>